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18" w:rsidRDefault="00E96B18">
      <w:pPr>
        <w:pStyle w:val="ConsPlusTitle"/>
        <w:jc w:val="center"/>
        <w:outlineLvl w:val="0"/>
      </w:pPr>
      <w:bookmarkStart w:id="0" w:name="_GoBack"/>
      <w:bookmarkEnd w:id="0"/>
      <w:r>
        <w:t>УПРАВЛЕНИЕ ПО ГОСУДАРСТВЕННОМУ РЕГУЛИРОВАНИЮ ЦЕН (ТАРИФОВ)</w:t>
      </w:r>
    </w:p>
    <w:p w:rsidR="00E96B18" w:rsidRDefault="00E96B18">
      <w:pPr>
        <w:pStyle w:val="ConsPlusTitle"/>
        <w:jc w:val="center"/>
      </w:pPr>
      <w:r>
        <w:t>НЕНЕЦКОГО АВТОНОМНОГО ОКРУГА</w:t>
      </w:r>
    </w:p>
    <w:p w:rsidR="00E96B18" w:rsidRDefault="00E96B18">
      <w:pPr>
        <w:pStyle w:val="ConsPlusTitle"/>
        <w:jc w:val="both"/>
      </w:pPr>
    </w:p>
    <w:p w:rsidR="00E96B18" w:rsidRDefault="00E96B18">
      <w:pPr>
        <w:pStyle w:val="ConsPlusTitle"/>
        <w:jc w:val="center"/>
      </w:pPr>
      <w:r>
        <w:t>ПРИКАЗ</w:t>
      </w:r>
    </w:p>
    <w:p w:rsidR="00E96B18" w:rsidRDefault="00E96B18">
      <w:pPr>
        <w:pStyle w:val="ConsPlusTitle"/>
        <w:jc w:val="center"/>
      </w:pPr>
      <w:r>
        <w:t>от 18 декабря 2018 г. N 72</w:t>
      </w:r>
    </w:p>
    <w:p w:rsidR="00E96B18" w:rsidRDefault="00E96B18">
      <w:pPr>
        <w:pStyle w:val="ConsPlusTitle"/>
        <w:jc w:val="center"/>
      </w:pPr>
    </w:p>
    <w:p w:rsidR="00E96B18" w:rsidRDefault="00E96B18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E96B18" w:rsidRDefault="00E96B18">
      <w:pPr>
        <w:pStyle w:val="ConsPlusTitle"/>
        <w:jc w:val="center"/>
      </w:pPr>
      <w:r>
        <w:t xml:space="preserve">И ТАРИФОВ В СФЕРЕ ТЕПЛОСНАБЖЕНИЯ </w:t>
      </w:r>
      <w:proofErr w:type="gramStart"/>
      <w:r>
        <w:t>ДЛЯ</w:t>
      </w:r>
      <w:proofErr w:type="gramEnd"/>
      <w:r>
        <w:t xml:space="preserve"> ГОСУДАРСТВЕННОГО</w:t>
      </w:r>
    </w:p>
    <w:p w:rsidR="00E96B18" w:rsidRDefault="00E96B18">
      <w:pPr>
        <w:pStyle w:val="ConsPlusTitle"/>
        <w:jc w:val="center"/>
      </w:pPr>
      <w:r>
        <w:t>УНИТАРНОГО ПРЕДПРИЯТИЯ НЕНЕЦКОГО АВТОНОМНОГО ОКРУГА</w:t>
      </w:r>
    </w:p>
    <w:p w:rsidR="00E96B18" w:rsidRDefault="00E96B18">
      <w:pPr>
        <w:pStyle w:val="ConsPlusTitle"/>
        <w:jc w:val="center"/>
      </w:pPr>
      <w:r>
        <w:t>"НЕНЕЦКАЯ КОММУНАЛЬНАЯ КОМПАНИЯ" НА ДОЛГОСРОЧНЫЙ ПЕРИОД</w:t>
      </w:r>
    </w:p>
    <w:p w:rsidR="00E96B18" w:rsidRDefault="00E96B18">
      <w:pPr>
        <w:pStyle w:val="ConsPlusTitle"/>
        <w:jc w:val="center"/>
      </w:pPr>
      <w:r>
        <w:t>РЕГУЛИРОВАНИЯ 2019 - 2023 ГОДОВ</w:t>
      </w:r>
    </w:p>
    <w:p w:rsidR="00E96B18" w:rsidRDefault="00E96B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B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B18" w:rsidRDefault="00E96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B18" w:rsidRDefault="00E96B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E96B18" w:rsidRDefault="00E96B18">
            <w:pPr>
              <w:pStyle w:val="ConsPlusNormal"/>
              <w:jc w:val="center"/>
            </w:pPr>
            <w:r>
              <w:rPr>
                <w:color w:val="392C69"/>
              </w:rPr>
              <w:t>НАО от 20.11.2019 N 51)</w:t>
            </w:r>
          </w:p>
        </w:tc>
      </w:tr>
    </w:tbl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proofErr w:type="gramStart"/>
      <w:r>
        <w:t>В соответствии с Федеральным законом от 27.07.2010 N 190-ФЗ "О теплоснабжении", постановлением Правительства Российской Федерации от 22.10.2012 N 1075 "О ценообразовании в сфере теплоснабжения", приказом Федеральной службы по тарифам от 07.06.2013 N 163 "Об утверждении Регламента открытия дел об установлении регулируемых цен (тарифов) и отмене регулирования тарифов в сфере теплоснабжения", законом Ненецкого автономного округа от 09.07.2014 N 69-ОЗ "О льготах</w:t>
      </w:r>
      <w:proofErr w:type="gramEnd"/>
      <w:r>
        <w:t xml:space="preserve"> по оплате тепловой энергии (мощности), теплоносителя на территории Ненецкого автономного округа", Положением об Управлении по государственному регулированию цен (тарифов) Ненецкого автономного округа, утвержденным постановлением Администрации Ненецкого автономного округа от 17.08.2012 N 233-п, приказываю: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1. Установить долгосрочные параметры регулирования для государственного унитарного предприятия Ненецкого автономного округа "Ненецкая коммунальная компания" (далее - ГУП НАО "Ненецкая коммунальная компания") на долгосрочный период регулирования 2019 - 2023 годов для формирования тарифов в сфере теплоснабжения с использованием метода индексации согласно Приложению 1.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и ввести</w:t>
      </w:r>
      <w:proofErr w:type="gramEnd"/>
      <w:r>
        <w:t xml:space="preserve"> в действие на период с 1 января 2019 года по 31 декабря 2023 года с календарной разбивкой:</w:t>
      </w:r>
    </w:p>
    <w:p w:rsidR="00E96B18" w:rsidRDefault="00E96B18">
      <w:pPr>
        <w:pStyle w:val="ConsPlusNormal"/>
        <w:spacing w:before="220"/>
        <w:ind w:firstLine="540"/>
        <w:jc w:val="both"/>
      </w:pPr>
      <w:proofErr w:type="gramStart"/>
      <w:r>
        <w:t>1) тарифы на тепловую энергию (мощность), поставляемую потребителям ГУП НАО "Ненецкая коммунальная компания", согласно Приложению 2;</w:t>
      </w:r>
      <w:proofErr w:type="gramEnd"/>
    </w:p>
    <w:p w:rsidR="00E96B18" w:rsidRDefault="00E96B18">
      <w:pPr>
        <w:pStyle w:val="ConsPlusNormal"/>
        <w:spacing w:before="220"/>
        <w:ind w:firstLine="540"/>
        <w:jc w:val="both"/>
      </w:pPr>
      <w:proofErr w:type="gramStart"/>
      <w:r>
        <w:t>2) льготные тарифы на тепловую энергию (мощность), поставляемую населению и потребителям, приравненным к населению, ГУП НАО "Ненецкая коммунальная компания" на территории муниципального образования "Городской округ "Город Нарьян-Мар", согласно Приложению 3;</w:t>
      </w:r>
      <w:proofErr w:type="gramEnd"/>
    </w:p>
    <w:p w:rsidR="00E96B18" w:rsidRDefault="00E96B18">
      <w:pPr>
        <w:pStyle w:val="ConsPlusNormal"/>
        <w:spacing w:before="220"/>
        <w:ind w:firstLine="540"/>
        <w:jc w:val="both"/>
      </w:pPr>
      <w:proofErr w:type="gramStart"/>
      <w:r>
        <w:t>3) льготные тарифы на тепловую энергию (мощность), поставляемую населению и потребителям, приравненным к населению, ГУП НАО "Ненецкая коммунальная компания" на территории муниципального образования "Городское поселение "Рабочий поселок Искателей", согласно Приложению 4;</w:t>
      </w:r>
      <w:proofErr w:type="gramEnd"/>
    </w:p>
    <w:p w:rsidR="00E96B18" w:rsidRDefault="00E96B18">
      <w:pPr>
        <w:pStyle w:val="ConsPlusNormal"/>
        <w:spacing w:before="220"/>
        <w:ind w:firstLine="540"/>
        <w:jc w:val="both"/>
      </w:pPr>
      <w:r>
        <w:t xml:space="preserve">4) тарифы на теплоноситель, поставляемый потребителям ГУП НАО "Ненецкая </w:t>
      </w:r>
      <w:proofErr w:type="gramStart"/>
      <w:r>
        <w:t>коммунальная</w:t>
      </w:r>
      <w:proofErr w:type="gramEnd"/>
      <w:r>
        <w:t xml:space="preserve"> компания", согласно Приложению 5;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 xml:space="preserve">5) льготные тарифы на теплоноситель, поставляемый населению и потребителям, приравненным к населению, ГУП НАО "Ненецкая </w:t>
      </w:r>
      <w:proofErr w:type="gramStart"/>
      <w:r>
        <w:t>коммунальная</w:t>
      </w:r>
      <w:proofErr w:type="gramEnd"/>
      <w:r>
        <w:t xml:space="preserve"> компания" на территории муниципального образования "Городской округ "Город Нарьян-Мар", согласно Приложению 6;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lastRenderedPageBreak/>
        <w:t xml:space="preserve">6) льготные тарифы на теплоноситель, поставляемый населению и потребителям, приравненным к населению, ГУП НАО "Ненецкая </w:t>
      </w:r>
      <w:proofErr w:type="gramStart"/>
      <w:r>
        <w:t>коммунальная</w:t>
      </w:r>
      <w:proofErr w:type="gramEnd"/>
      <w:r>
        <w:t xml:space="preserve"> компания" на территории муниципального образования "Городское поселение "Рабочий поселок Искателей", согласно Приложению 7;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 xml:space="preserve">7) тарифы на горячую воду в открытых системах теплоснабжения (горячего водоснабжения), поставляемую потребителям ГУП НАО "Ненецкая </w:t>
      </w:r>
      <w:proofErr w:type="gramStart"/>
      <w:r>
        <w:t>коммунальная</w:t>
      </w:r>
      <w:proofErr w:type="gramEnd"/>
      <w:r>
        <w:t xml:space="preserve"> компания", согласно Приложению 8;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 xml:space="preserve">8) льготные тарифы на горячую воду в открытых системах теплоснабжения (горячего водоснабжения), поставляемую населению и потребителям, приравненным к населению, ГУП НАО "Ненецкая </w:t>
      </w:r>
      <w:proofErr w:type="gramStart"/>
      <w:r>
        <w:t>коммунальная</w:t>
      </w:r>
      <w:proofErr w:type="gramEnd"/>
      <w:r>
        <w:t xml:space="preserve"> компания" на территории муниципального образования "Городской округ "Город Нарьян-Мар", согласно Приложению 9;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 xml:space="preserve">9) льготные тарифы на горячую воду в открытых системах теплоснабжения (горячего водоснабжения), поставляемую населению и потребителям, приравненным к населению, ГУП НАО "Ненецкая </w:t>
      </w:r>
      <w:proofErr w:type="gramStart"/>
      <w:r>
        <w:t>коммунальная</w:t>
      </w:r>
      <w:proofErr w:type="gramEnd"/>
      <w:r>
        <w:t xml:space="preserve"> компания" на территории муниципального образования "Городское поселение "Рабочий поселок Искателей", согласно Приложению 10.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right"/>
      </w:pPr>
      <w:r>
        <w:t>Начальник Управления</w:t>
      </w:r>
    </w:p>
    <w:p w:rsidR="00E96B18" w:rsidRDefault="00E96B18">
      <w:pPr>
        <w:pStyle w:val="ConsPlusNormal"/>
        <w:jc w:val="right"/>
      </w:pPr>
      <w:r>
        <w:t>С.А.АНДРИЯНОВ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right"/>
        <w:outlineLvl w:val="0"/>
      </w:pPr>
      <w:r>
        <w:t>Приложение 1</w:t>
      </w:r>
    </w:p>
    <w:p w:rsidR="00E96B18" w:rsidRDefault="00E96B18">
      <w:pPr>
        <w:pStyle w:val="ConsPlusNormal"/>
        <w:jc w:val="right"/>
      </w:pPr>
      <w:r>
        <w:t>к приказу Управления по государственному</w:t>
      </w:r>
    </w:p>
    <w:p w:rsidR="00E96B18" w:rsidRDefault="00E96B18">
      <w:pPr>
        <w:pStyle w:val="ConsPlusNormal"/>
        <w:jc w:val="right"/>
      </w:pPr>
      <w:r>
        <w:t>регулированию цен (тарифов)</w:t>
      </w:r>
    </w:p>
    <w:p w:rsidR="00E96B18" w:rsidRDefault="00E96B18">
      <w:pPr>
        <w:pStyle w:val="ConsPlusNormal"/>
        <w:jc w:val="right"/>
      </w:pPr>
      <w:r>
        <w:t>Ненецкого автономного округа</w:t>
      </w:r>
    </w:p>
    <w:p w:rsidR="00E96B18" w:rsidRDefault="00E96B18">
      <w:pPr>
        <w:pStyle w:val="ConsPlusNormal"/>
        <w:jc w:val="right"/>
      </w:pPr>
      <w:r>
        <w:t>от 18.12.2018 N 72</w:t>
      </w:r>
    </w:p>
    <w:p w:rsidR="00E96B18" w:rsidRDefault="00E96B18">
      <w:pPr>
        <w:pStyle w:val="ConsPlusNormal"/>
        <w:jc w:val="right"/>
      </w:pPr>
      <w:r>
        <w:t>"Об установлении долгосрочных параметров</w:t>
      </w:r>
    </w:p>
    <w:p w:rsidR="00E96B18" w:rsidRDefault="00E96B18">
      <w:pPr>
        <w:pStyle w:val="ConsPlusNormal"/>
        <w:jc w:val="right"/>
      </w:pPr>
      <w:r>
        <w:t>регулирования и тарифов в сфере теплоснабжения</w:t>
      </w:r>
    </w:p>
    <w:p w:rsidR="00E96B18" w:rsidRDefault="00E96B18">
      <w:pPr>
        <w:pStyle w:val="ConsPlusNormal"/>
        <w:jc w:val="right"/>
      </w:pPr>
      <w:r>
        <w:t>для государственного унитарного предприятия</w:t>
      </w:r>
    </w:p>
    <w:p w:rsidR="00E96B18" w:rsidRDefault="00E96B18">
      <w:pPr>
        <w:pStyle w:val="ConsPlusNormal"/>
        <w:jc w:val="right"/>
      </w:pPr>
      <w:r>
        <w:t>Ненецкого автономного округа "Ненецкая</w:t>
      </w:r>
    </w:p>
    <w:p w:rsidR="00E96B18" w:rsidRDefault="00E96B18">
      <w:pPr>
        <w:pStyle w:val="ConsPlusNormal"/>
        <w:jc w:val="right"/>
      </w:pPr>
      <w:proofErr w:type="gramStart"/>
      <w:r>
        <w:t>коммунальная</w:t>
      </w:r>
      <w:proofErr w:type="gramEnd"/>
      <w:r>
        <w:t xml:space="preserve"> компания" на долгосрочный период</w:t>
      </w:r>
    </w:p>
    <w:p w:rsidR="00E96B18" w:rsidRDefault="00E96B18">
      <w:pPr>
        <w:pStyle w:val="ConsPlusNormal"/>
        <w:jc w:val="right"/>
      </w:pPr>
      <w:r>
        <w:t>регулирования 2019 - 2023 годов"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Title"/>
        <w:jc w:val="center"/>
      </w:pPr>
      <w:bookmarkStart w:id="1" w:name="P49"/>
      <w:bookmarkEnd w:id="1"/>
      <w:r>
        <w:t>ДОЛГОСРОЧНЫЕ ПАРАМЕТРЫ</w:t>
      </w:r>
    </w:p>
    <w:p w:rsidR="00E96B18" w:rsidRDefault="00E96B18">
      <w:pPr>
        <w:pStyle w:val="ConsPlusTitle"/>
        <w:jc w:val="center"/>
      </w:pPr>
      <w:r>
        <w:t>РЕГУЛИРОВАНИЯ ДЛЯ ГОСУДАРСТВЕННОГО УНИТАРНОГО ПРЕДПРИЯТИЯ</w:t>
      </w:r>
    </w:p>
    <w:p w:rsidR="00E96B18" w:rsidRDefault="00E96B18">
      <w:pPr>
        <w:pStyle w:val="ConsPlusTitle"/>
        <w:jc w:val="center"/>
      </w:pPr>
      <w:proofErr w:type="gramStart"/>
      <w:r>
        <w:t>НЕНЕЦКОГО АВТОНОМНОГО ОКРУГА "НЕНЕЦКАЯ КОММУНАЛЬНАЯ</w:t>
      </w:r>
      <w:proofErr w:type="gramEnd"/>
    </w:p>
    <w:p w:rsidR="00E96B18" w:rsidRDefault="00E96B18">
      <w:pPr>
        <w:pStyle w:val="ConsPlusTitle"/>
        <w:jc w:val="center"/>
      </w:pPr>
      <w:r>
        <w:t>КОМПАНИЯ" НА ДОЛГОСРОЧНЫЙ ПЕРИОД РЕГУЛИРОВАНИЯ</w:t>
      </w:r>
    </w:p>
    <w:p w:rsidR="00E96B18" w:rsidRDefault="00E96B18">
      <w:pPr>
        <w:pStyle w:val="ConsPlusTitle"/>
        <w:jc w:val="center"/>
      </w:pPr>
      <w:r>
        <w:t>2019 - 2023 ГОДОВ ДЛЯ ФОРМИРОВАНИЯ ТАРИФОВ В СФЕРЕ</w:t>
      </w:r>
    </w:p>
    <w:p w:rsidR="00E96B18" w:rsidRDefault="00E96B18">
      <w:pPr>
        <w:pStyle w:val="ConsPlusTitle"/>
        <w:jc w:val="center"/>
      </w:pPr>
      <w:r>
        <w:t>ТЕПЛОСНАБЖЕНИЯ С ИСПОЛЬЗОВАНИЕМ МЕТОДА ИНДЕКСАЦИИ</w:t>
      </w:r>
    </w:p>
    <w:p w:rsidR="00E96B18" w:rsidRDefault="00E96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28"/>
        <w:gridCol w:w="709"/>
        <w:gridCol w:w="1247"/>
        <w:gridCol w:w="1077"/>
        <w:gridCol w:w="1304"/>
        <w:gridCol w:w="1361"/>
      </w:tblGrid>
      <w:tr w:rsidR="00E96B18">
        <w:tc>
          <w:tcPr>
            <w:tcW w:w="568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47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077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2665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E96B18">
        <w:tc>
          <w:tcPr>
            <w:tcW w:w="568" w:type="dxa"/>
            <w:vMerge/>
          </w:tcPr>
          <w:p w:rsidR="00E96B18" w:rsidRDefault="00E96B18"/>
        </w:tc>
        <w:tc>
          <w:tcPr>
            <w:tcW w:w="1928" w:type="dxa"/>
            <w:vMerge/>
          </w:tcPr>
          <w:p w:rsidR="00E96B18" w:rsidRDefault="00E96B18"/>
        </w:tc>
        <w:tc>
          <w:tcPr>
            <w:tcW w:w="709" w:type="dxa"/>
            <w:vMerge/>
          </w:tcPr>
          <w:p w:rsidR="00E96B18" w:rsidRDefault="00E96B18"/>
        </w:tc>
        <w:tc>
          <w:tcPr>
            <w:tcW w:w="1247" w:type="dxa"/>
            <w:vMerge/>
          </w:tcPr>
          <w:p w:rsidR="00E96B18" w:rsidRDefault="00E96B18"/>
        </w:tc>
        <w:tc>
          <w:tcPr>
            <w:tcW w:w="1077" w:type="dxa"/>
            <w:vMerge/>
          </w:tcPr>
          <w:p w:rsidR="00E96B18" w:rsidRDefault="00E96B18"/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 xml:space="preserve">удельный расход </w:t>
            </w:r>
            <w:r>
              <w:lastRenderedPageBreak/>
              <w:t xml:space="preserve">топлива,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lastRenderedPageBreak/>
              <w:t xml:space="preserve">технологические потери </w:t>
            </w:r>
            <w:r>
              <w:lastRenderedPageBreak/>
              <w:t>тепловой энергии, Гкал</w:t>
            </w:r>
          </w:p>
        </w:tc>
      </w:tr>
      <w:tr w:rsidR="00E96B18">
        <w:tc>
          <w:tcPr>
            <w:tcW w:w="568" w:type="dxa"/>
          </w:tcPr>
          <w:p w:rsidR="00E96B18" w:rsidRDefault="00E96B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E96B18" w:rsidRDefault="00E96B18">
            <w:pPr>
              <w:pStyle w:val="ConsPlusNormal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709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24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07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304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361" w:type="dxa"/>
          </w:tcPr>
          <w:p w:rsidR="00E96B18" w:rsidRDefault="00E96B18">
            <w:pPr>
              <w:pStyle w:val="ConsPlusNormal"/>
            </w:pPr>
          </w:p>
        </w:tc>
      </w:tr>
      <w:tr w:rsidR="00E96B18">
        <w:tc>
          <w:tcPr>
            <w:tcW w:w="568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28" w:type="dxa"/>
            <w:vMerge w:val="restart"/>
          </w:tcPr>
          <w:p w:rsidR="00E96B18" w:rsidRDefault="00E96B18">
            <w:pPr>
              <w:pStyle w:val="ConsPlusNormal"/>
            </w:pPr>
            <w:r>
              <w:t>На территории МО "Городской округ "Город Нарьян-Мар"</w:t>
            </w:r>
          </w:p>
        </w:tc>
        <w:tc>
          <w:tcPr>
            <w:tcW w:w="709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E96B18" w:rsidRDefault="00E96B18">
            <w:pPr>
              <w:pStyle w:val="ConsPlusNormal"/>
              <w:jc w:val="center"/>
            </w:pPr>
            <w:r>
              <w:t>25 807,80</w:t>
            </w:r>
          </w:p>
        </w:tc>
        <w:tc>
          <w:tcPr>
            <w:tcW w:w="107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10034,9</w:t>
            </w:r>
          </w:p>
        </w:tc>
      </w:tr>
      <w:tr w:rsidR="00E96B18">
        <w:tc>
          <w:tcPr>
            <w:tcW w:w="568" w:type="dxa"/>
            <w:vMerge/>
          </w:tcPr>
          <w:p w:rsidR="00E96B18" w:rsidRDefault="00E96B18"/>
        </w:tc>
        <w:tc>
          <w:tcPr>
            <w:tcW w:w="1928" w:type="dxa"/>
            <w:vMerge/>
          </w:tcPr>
          <w:p w:rsidR="00E96B18" w:rsidRDefault="00E96B18"/>
        </w:tc>
        <w:tc>
          <w:tcPr>
            <w:tcW w:w="709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077" w:type="dxa"/>
          </w:tcPr>
          <w:p w:rsidR="00E96B18" w:rsidRDefault="00E96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10034,9</w:t>
            </w:r>
          </w:p>
        </w:tc>
      </w:tr>
      <w:tr w:rsidR="00E96B18">
        <w:tc>
          <w:tcPr>
            <w:tcW w:w="568" w:type="dxa"/>
            <w:vMerge/>
          </w:tcPr>
          <w:p w:rsidR="00E96B18" w:rsidRDefault="00E96B18"/>
        </w:tc>
        <w:tc>
          <w:tcPr>
            <w:tcW w:w="1928" w:type="dxa"/>
            <w:vMerge/>
          </w:tcPr>
          <w:p w:rsidR="00E96B18" w:rsidRDefault="00E96B18"/>
        </w:tc>
        <w:tc>
          <w:tcPr>
            <w:tcW w:w="709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077" w:type="dxa"/>
          </w:tcPr>
          <w:p w:rsidR="00E96B18" w:rsidRDefault="00E96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10034,9</w:t>
            </w:r>
          </w:p>
        </w:tc>
      </w:tr>
      <w:tr w:rsidR="00E96B18">
        <w:tc>
          <w:tcPr>
            <w:tcW w:w="568" w:type="dxa"/>
            <w:vMerge/>
          </w:tcPr>
          <w:p w:rsidR="00E96B18" w:rsidRDefault="00E96B18"/>
        </w:tc>
        <w:tc>
          <w:tcPr>
            <w:tcW w:w="1928" w:type="dxa"/>
            <w:vMerge/>
          </w:tcPr>
          <w:p w:rsidR="00E96B18" w:rsidRDefault="00E96B18"/>
        </w:tc>
        <w:tc>
          <w:tcPr>
            <w:tcW w:w="709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077" w:type="dxa"/>
          </w:tcPr>
          <w:p w:rsidR="00E96B18" w:rsidRDefault="00E96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10034,9</w:t>
            </w:r>
          </w:p>
        </w:tc>
      </w:tr>
      <w:tr w:rsidR="00E96B18">
        <w:tc>
          <w:tcPr>
            <w:tcW w:w="568" w:type="dxa"/>
            <w:vMerge/>
          </w:tcPr>
          <w:p w:rsidR="00E96B18" w:rsidRDefault="00E96B18"/>
        </w:tc>
        <w:tc>
          <w:tcPr>
            <w:tcW w:w="1928" w:type="dxa"/>
            <w:vMerge/>
          </w:tcPr>
          <w:p w:rsidR="00E96B18" w:rsidRDefault="00E96B18"/>
        </w:tc>
        <w:tc>
          <w:tcPr>
            <w:tcW w:w="709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077" w:type="dxa"/>
          </w:tcPr>
          <w:p w:rsidR="00E96B18" w:rsidRDefault="00E96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10034,9</w:t>
            </w:r>
          </w:p>
        </w:tc>
      </w:tr>
      <w:tr w:rsidR="00E96B18">
        <w:tc>
          <w:tcPr>
            <w:tcW w:w="568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928" w:type="dxa"/>
            <w:vMerge w:val="restart"/>
          </w:tcPr>
          <w:p w:rsidR="00E96B18" w:rsidRDefault="00E96B18">
            <w:pPr>
              <w:pStyle w:val="ConsPlusNormal"/>
            </w:pPr>
            <w:r>
              <w:t>На территории МО "Городское поселение "Рабочий поселок Искателей"</w:t>
            </w:r>
          </w:p>
        </w:tc>
        <w:tc>
          <w:tcPr>
            <w:tcW w:w="709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E96B18" w:rsidRDefault="00E96B18">
            <w:pPr>
              <w:pStyle w:val="ConsPlusNormal"/>
              <w:jc w:val="center"/>
            </w:pPr>
            <w:r>
              <w:t>73 617,61</w:t>
            </w:r>
          </w:p>
        </w:tc>
        <w:tc>
          <w:tcPr>
            <w:tcW w:w="107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10034,9</w:t>
            </w:r>
          </w:p>
        </w:tc>
      </w:tr>
      <w:tr w:rsidR="00E96B18">
        <w:tc>
          <w:tcPr>
            <w:tcW w:w="568" w:type="dxa"/>
            <w:vMerge/>
          </w:tcPr>
          <w:p w:rsidR="00E96B18" w:rsidRDefault="00E96B18"/>
        </w:tc>
        <w:tc>
          <w:tcPr>
            <w:tcW w:w="1928" w:type="dxa"/>
            <w:vMerge/>
          </w:tcPr>
          <w:p w:rsidR="00E96B18" w:rsidRDefault="00E96B18"/>
        </w:tc>
        <w:tc>
          <w:tcPr>
            <w:tcW w:w="709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077" w:type="dxa"/>
          </w:tcPr>
          <w:p w:rsidR="00E96B18" w:rsidRDefault="00E96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10034,9</w:t>
            </w:r>
          </w:p>
        </w:tc>
      </w:tr>
      <w:tr w:rsidR="00E96B18">
        <w:tc>
          <w:tcPr>
            <w:tcW w:w="568" w:type="dxa"/>
            <w:vMerge/>
          </w:tcPr>
          <w:p w:rsidR="00E96B18" w:rsidRDefault="00E96B18"/>
        </w:tc>
        <w:tc>
          <w:tcPr>
            <w:tcW w:w="1928" w:type="dxa"/>
            <w:vMerge/>
          </w:tcPr>
          <w:p w:rsidR="00E96B18" w:rsidRDefault="00E96B18"/>
        </w:tc>
        <w:tc>
          <w:tcPr>
            <w:tcW w:w="709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077" w:type="dxa"/>
          </w:tcPr>
          <w:p w:rsidR="00E96B18" w:rsidRDefault="00E96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10034,9</w:t>
            </w:r>
          </w:p>
        </w:tc>
      </w:tr>
      <w:tr w:rsidR="00E96B18">
        <w:tc>
          <w:tcPr>
            <w:tcW w:w="568" w:type="dxa"/>
            <w:vMerge/>
          </w:tcPr>
          <w:p w:rsidR="00E96B18" w:rsidRDefault="00E96B18"/>
        </w:tc>
        <w:tc>
          <w:tcPr>
            <w:tcW w:w="1928" w:type="dxa"/>
            <w:vMerge/>
          </w:tcPr>
          <w:p w:rsidR="00E96B18" w:rsidRDefault="00E96B18"/>
        </w:tc>
        <w:tc>
          <w:tcPr>
            <w:tcW w:w="709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077" w:type="dxa"/>
          </w:tcPr>
          <w:p w:rsidR="00E96B18" w:rsidRDefault="00E96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10034,9</w:t>
            </w:r>
          </w:p>
        </w:tc>
      </w:tr>
      <w:tr w:rsidR="00E96B18">
        <w:tc>
          <w:tcPr>
            <w:tcW w:w="568" w:type="dxa"/>
            <w:vMerge/>
          </w:tcPr>
          <w:p w:rsidR="00E96B18" w:rsidRDefault="00E96B18"/>
        </w:tc>
        <w:tc>
          <w:tcPr>
            <w:tcW w:w="1928" w:type="dxa"/>
            <w:vMerge/>
          </w:tcPr>
          <w:p w:rsidR="00E96B18" w:rsidRDefault="00E96B18"/>
        </w:tc>
        <w:tc>
          <w:tcPr>
            <w:tcW w:w="709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E96B18" w:rsidRDefault="00E96B18">
            <w:pPr>
              <w:pStyle w:val="ConsPlusNormal"/>
            </w:pPr>
          </w:p>
        </w:tc>
        <w:tc>
          <w:tcPr>
            <w:tcW w:w="1077" w:type="dxa"/>
          </w:tcPr>
          <w:p w:rsidR="00E96B18" w:rsidRDefault="00E96B1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10034,9</w:t>
            </w:r>
          </w:p>
        </w:tc>
      </w:tr>
    </w:tbl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right"/>
        <w:outlineLvl w:val="0"/>
      </w:pPr>
      <w:r>
        <w:t>Приложение 2</w:t>
      </w:r>
    </w:p>
    <w:p w:rsidR="00E96B18" w:rsidRDefault="00E96B18">
      <w:pPr>
        <w:pStyle w:val="ConsPlusNormal"/>
        <w:jc w:val="right"/>
      </w:pPr>
      <w:r>
        <w:t>к приказу Управления по государственному</w:t>
      </w:r>
    </w:p>
    <w:p w:rsidR="00E96B18" w:rsidRDefault="00E96B18">
      <w:pPr>
        <w:pStyle w:val="ConsPlusNormal"/>
        <w:jc w:val="right"/>
      </w:pPr>
      <w:r>
        <w:t>регулированию цен (тарифов)</w:t>
      </w:r>
    </w:p>
    <w:p w:rsidR="00E96B18" w:rsidRDefault="00E96B18">
      <w:pPr>
        <w:pStyle w:val="ConsPlusNormal"/>
        <w:jc w:val="right"/>
      </w:pPr>
      <w:r>
        <w:t>Ненецкого автономного округа</w:t>
      </w:r>
    </w:p>
    <w:p w:rsidR="00E96B18" w:rsidRDefault="00E96B18">
      <w:pPr>
        <w:pStyle w:val="ConsPlusNormal"/>
        <w:jc w:val="right"/>
      </w:pPr>
      <w:r>
        <w:t>от 18.12.2018 N 72</w:t>
      </w:r>
    </w:p>
    <w:p w:rsidR="00E96B18" w:rsidRDefault="00E96B18">
      <w:pPr>
        <w:pStyle w:val="ConsPlusNormal"/>
        <w:jc w:val="right"/>
      </w:pPr>
      <w:r>
        <w:t>"Об установлении долгосрочных параметров</w:t>
      </w:r>
    </w:p>
    <w:p w:rsidR="00E96B18" w:rsidRDefault="00E96B18">
      <w:pPr>
        <w:pStyle w:val="ConsPlusNormal"/>
        <w:jc w:val="right"/>
      </w:pPr>
      <w:r>
        <w:t>регулирования и тарифов в сфере теплоснабжения</w:t>
      </w:r>
    </w:p>
    <w:p w:rsidR="00E96B18" w:rsidRDefault="00E96B18">
      <w:pPr>
        <w:pStyle w:val="ConsPlusNormal"/>
        <w:jc w:val="right"/>
      </w:pPr>
      <w:r>
        <w:t>для государственного унитарного предприятия</w:t>
      </w:r>
    </w:p>
    <w:p w:rsidR="00E96B18" w:rsidRDefault="00E96B18">
      <w:pPr>
        <w:pStyle w:val="ConsPlusNormal"/>
        <w:jc w:val="right"/>
      </w:pPr>
      <w:r>
        <w:t>Ненецкого автономного округа "Ненецкая</w:t>
      </w:r>
    </w:p>
    <w:p w:rsidR="00E96B18" w:rsidRDefault="00E96B18">
      <w:pPr>
        <w:pStyle w:val="ConsPlusNormal"/>
        <w:jc w:val="right"/>
      </w:pPr>
      <w:proofErr w:type="gramStart"/>
      <w:r>
        <w:t>коммунальная</w:t>
      </w:r>
      <w:proofErr w:type="gramEnd"/>
      <w:r>
        <w:t xml:space="preserve"> компания" на долгосрочный период</w:t>
      </w:r>
    </w:p>
    <w:p w:rsidR="00E96B18" w:rsidRDefault="00E96B18">
      <w:pPr>
        <w:pStyle w:val="ConsPlusNormal"/>
        <w:jc w:val="right"/>
      </w:pPr>
      <w:r>
        <w:t>регулирования 2019 - 2023 годов"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Title"/>
        <w:jc w:val="center"/>
      </w:pPr>
      <w:bookmarkStart w:id="2" w:name="P142"/>
      <w:bookmarkEnd w:id="2"/>
      <w:r>
        <w:t>ТАРИФЫ</w:t>
      </w:r>
    </w:p>
    <w:p w:rsidR="00E96B18" w:rsidRDefault="00E96B18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E96B18" w:rsidRDefault="00E96B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B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B18" w:rsidRDefault="00E96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B18" w:rsidRDefault="00E96B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E96B18" w:rsidRDefault="00E96B1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НАО от 20.11.2019 N 51)</w:t>
            </w:r>
          </w:p>
        </w:tc>
      </w:tr>
    </w:tbl>
    <w:p w:rsidR="00E96B18" w:rsidRDefault="00E96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2948"/>
        <w:gridCol w:w="1191"/>
        <w:gridCol w:w="340"/>
        <w:gridCol w:w="819"/>
        <w:gridCol w:w="1449"/>
        <w:gridCol w:w="1361"/>
      </w:tblGrid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191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159" w:type="dxa"/>
            <w:gridSpan w:val="2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10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Вода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191" w:type="dxa"/>
            <w:vMerge/>
          </w:tcPr>
          <w:p w:rsidR="00E96B18" w:rsidRDefault="00E96B18"/>
        </w:tc>
        <w:tc>
          <w:tcPr>
            <w:tcW w:w="1159" w:type="dxa"/>
            <w:gridSpan w:val="2"/>
            <w:vMerge/>
          </w:tcPr>
          <w:p w:rsidR="00E96B18" w:rsidRDefault="00E96B18"/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96B18">
        <w:tc>
          <w:tcPr>
            <w:tcW w:w="674" w:type="dxa"/>
          </w:tcPr>
          <w:p w:rsidR="00E96B18" w:rsidRDefault="00E96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96B18" w:rsidRDefault="00E96B18">
            <w:pPr>
              <w:pStyle w:val="ConsPlusNormal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5160" w:type="dxa"/>
            <w:gridSpan w:val="5"/>
          </w:tcPr>
          <w:p w:rsidR="00E96B18" w:rsidRDefault="00E96B18">
            <w:pPr>
              <w:pStyle w:val="ConsPlusNormal"/>
              <w:jc w:val="center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  <w:vMerge w:val="restart"/>
          </w:tcPr>
          <w:p w:rsidR="00E96B18" w:rsidRDefault="00E96B18">
            <w:pPr>
              <w:pStyle w:val="ConsPlusNormal"/>
            </w:pPr>
            <w:r>
              <w:t>На территории МО "Городской округ "Город Нарьян-Мар"</w:t>
            </w:r>
          </w:p>
        </w:tc>
        <w:tc>
          <w:tcPr>
            <w:tcW w:w="1531" w:type="dxa"/>
            <w:gridSpan w:val="2"/>
            <w:vMerge w:val="restart"/>
          </w:tcPr>
          <w:p w:rsidR="00E96B18" w:rsidRDefault="00E96B18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2 360,00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2 438,11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2 438,11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2 653,25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2 401,50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2 409,12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2 340,00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2 367,57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2 367,57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2 482,30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  <w:vMerge w:val="restart"/>
          </w:tcPr>
          <w:p w:rsidR="00E96B18" w:rsidRDefault="00E96B18">
            <w:pPr>
              <w:pStyle w:val="ConsPlusNormal"/>
            </w:pPr>
            <w:r>
              <w:t>На территории МО "Городское поселение "Рабочий поселок Искателей"</w:t>
            </w:r>
          </w:p>
        </w:tc>
        <w:tc>
          <w:tcPr>
            <w:tcW w:w="1531" w:type="dxa"/>
            <w:gridSpan w:val="2"/>
            <w:vMerge w:val="restart"/>
          </w:tcPr>
          <w:p w:rsidR="00E96B18" w:rsidRDefault="00E96B18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2 011,68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2 055,71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1 950,00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1 984,27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2 206,77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2 366,62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2 345,00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2 362,53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2 362,53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2 393,85</w:t>
            </w:r>
          </w:p>
        </w:tc>
      </w:tr>
      <w:tr w:rsidR="00E96B18">
        <w:tc>
          <w:tcPr>
            <w:tcW w:w="674" w:type="dxa"/>
          </w:tcPr>
          <w:p w:rsidR="00E96B18" w:rsidRDefault="00E96B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E96B18" w:rsidRDefault="00E96B18">
            <w:pPr>
              <w:pStyle w:val="ConsPlusNormal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5160" w:type="dxa"/>
            <w:gridSpan w:val="5"/>
          </w:tcPr>
          <w:p w:rsidR="00E96B18" w:rsidRDefault="00E96B18">
            <w:pPr>
              <w:pStyle w:val="ConsPlusNormal"/>
              <w:jc w:val="center"/>
            </w:pPr>
            <w:r>
              <w:t>Население и потребители, приравненные к населению (тарифы указываются с учетом НДС) *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Merge w:val="restart"/>
          </w:tcPr>
          <w:p w:rsidR="00E96B18" w:rsidRDefault="00E96B18">
            <w:pPr>
              <w:pStyle w:val="ConsPlusNormal"/>
            </w:pPr>
            <w:r>
              <w:t>На территории МО "Городское поселение "Рабочий поселок Искателей"</w:t>
            </w:r>
          </w:p>
        </w:tc>
        <w:tc>
          <w:tcPr>
            <w:tcW w:w="1531" w:type="dxa"/>
            <w:gridSpan w:val="2"/>
            <w:vMerge w:val="restart"/>
          </w:tcPr>
          <w:p w:rsidR="00E96B18" w:rsidRDefault="00E96B18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2 414,02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2 466,85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2 340,00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2 381,12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2 648,12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2 839,94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2 814,00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2 835,03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948" w:type="dxa"/>
            <w:vMerge/>
          </w:tcPr>
          <w:p w:rsidR="00E96B18" w:rsidRDefault="00E96B18"/>
        </w:tc>
        <w:tc>
          <w:tcPr>
            <w:tcW w:w="1531" w:type="dxa"/>
            <w:gridSpan w:val="2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2 835,03</w:t>
            </w:r>
          </w:p>
        </w:tc>
        <w:tc>
          <w:tcPr>
            <w:tcW w:w="1361" w:type="dxa"/>
          </w:tcPr>
          <w:p w:rsidR="00E96B18" w:rsidRDefault="00E96B18">
            <w:pPr>
              <w:pStyle w:val="ConsPlusNormal"/>
              <w:jc w:val="center"/>
            </w:pPr>
            <w:r>
              <w:t>2 872,62</w:t>
            </w:r>
          </w:p>
        </w:tc>
      </w:tr>
    </w:tbl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--------------------------------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right"/>
        <w:outlineLvl w:val="0"/>
      </w:pPr>
      <w:r>
        <w:t>Приложение 3</w:t>
      </w:r>
    </w:p>
    <w:p w:rsidR="00E96B18" w:rsidRDefault="00E96B18">
      <w:pPr>
        <w:pStyle w:val="ConsPlusNormal"/>
        <w:jc w:val="right"/>
      </w:pPr>
      <w:r>
        <w:t>к приказу Управления по государственному</w:t>
      </w:r>
    </w:p>
    <w:p w:rsidR="00E96B18" w:rsidRDefault="00E96B18">
      <w:pPr>
        <w:pStyle w:val="ConsPlusNormal"/>
        <w:jc w:val="right"/>
      </w:pPr>
      <w:r>
        <w:t>регулированию цен (тарифов)</w:t>
      </w:r>
    </w:p>
    <w:p w:rsidR="00E96B18" w:rsidRDefault="00E96B18">
      <w:pPr>
        <w:pStyle w:val="ConsPlusNormal"/>
        <w:jc w:val="right"/>
      </w:pPr>
      <w:r>
        <w:t>Ненецкого автономного округа</w:t>
      </w:r>
    </w:p>
    <w:p w:rsidR="00E96B18" w:rsidRDefault="00E96B18">
      <w:pPr>
        <w:pStyle w:val="ConsPlusNormal"/>
        <w:jc w:val="right"/>
      </w:pPr>
      <w:r>
        <w:t>от 18.12.2018 N 72</w:t>
      </w:r>
    </w:p>
    <w:p w:rsidR="00E96B18" w:rsidRDefault="00E96B18">
      <w:pPr>
        <w:pStyle w:val="ConsPlusNormal"/>
        <w:jc w:val="right"/>
      </w:pPr>
      <w:r>
        <w:t>"Об установлении долгосрочных параметров</w:t>
      </w:r>
    </w:p>
    <w:p w:rsidR="00E96B18" w:rsidRDefault="00E96B18">
      <w:pPr>
        <w:pStyle w:val="ConsPlusNormal"/>
        <w:jc w:val="right"/>
      </w:pPr>
      <w:r>
        <w:t>регулирования и тарифов в сфере теплоснабжения</w:t>
      </w:r>
    </w:p>
    <w:p w:rsidR="00E96B18" w:rsidRDefault="00E96B18">
      <w:pPr>
        <w:pStyle w:val="ConsPlusNormal"/>
        <w:jc w:val="right"/>
      </w:pPr>
      <w:r>
        <w:t>для государственного унитарного предприятия</w:t>
      </w:r>
    </w:p>
    <w:p w:rsidR="00E96B18" w:rsidRDefault="00E96B18">
      <w:pPr>
        <w:pStyle w:val="ConsPlusNormal"/>
        <w:jc w:val="right"/>
      </w:pPr>
      <w:r>
        <w:t>Ненецкого автономного округа "Ненецкая</w:t>
      </w:r>
    </w:p>
    <w:p w:rsidR="00E96B18" w:rsidRDefault="00E96B18">
      <w:pPr>
        <w:pStyle w:val="ConsPlusNormal"/>
        <w:jc w:val="right"/>
      </w:pPr>
      <w:proofErr w:type="gramStart"/>
      <w:r>
        <w:t>коммунальная</w:t>
      </w:r>
      <w:proofErr w:type="gramEnd"/>
      <w:r>
        <w:t xml:space="preserve"> компания" на долгосрочный период</w:t>
      </w:r>
    </w:p>
    <w:p w:rsidR="00E96B18" w:rsidRDefault="00E96B18">
      <w:pPr>
        <w:pStyle w:val="ConsPlusNormal"/>
        <w:jc w:val="right"/>
      </w:pPr>
      <w:r>
        <w:t>регулирования 2019 - 2023 годов"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Title"/>
        <w:jc w:val="center"/>
      </w:pPr>
      <w:bookmarkStart w:id="3" w:name="P235"/>
      <w:bookmarkEnd w:id="3"/>
      <w:r>
        <w:t>ЛЬГОТНЫЕ ТАРИФЫ</w:t>
      </w:r>
    </w:p>
    <w:p w:rsidR="00E96B18" w:rsidRDefault="00E96B18">
      <w:pPr>
        <w:pStyle w:val="ConsPlusTitle"/>
        <w:jc w:val="center"/>
      </w:pPr>
      <w:r>
        <w:t>НА ТЕПЛОВУЮ ЭНЕРГИЮ (МОЩНОСТЬ), ПОСТАВЛЯЕМУЮ НАСЕЛЕНИЮ</w:t>
      </w:r>
    </w:p>
    <w:p w:rsidR="00E96B18" w:rsidRDefault="00E96B18">
      <w:pPr>
        <w:pStyle w:val="ConsPlusTitle"/>
        <w:jc w:val="center"/>
      </w:pPr>
      <w:r>
        <w:t>И ПОТРЕБИТЕЛЯМ, ПРИРАВНЕННЫМ К НАСЕЛЕНИЮ НА ТЕРРИТОРИИ</w:t>
      </w:r>
    </w:p>
    <w:p w:rsidR="00E96B18" w:rsidRDefault="00E96B18">
      <w:pPr>
        <w:pStyle w:val="ConsPlusTitle"/>
        <w:jc w:val="center"/>
      </w:pPr>
      <w:r>
        <w:t>МУНИЦИПАЛЬНОГО ОБРАЗОВАНИЯ "ГОРОДСКОЙ ОКРУГ</w:t>
      </w:r>
    </w:p>
    <w:p w:rsidR="00E96B18" w:rsidRDefault="00E96B18">
      <w:pPr>
        <w:pStyle w:val="ConsPlusTitle"/>
        <w:jc w:val="center"/>
      </w:pPr>
      <w:r>
        <w:t>"ГОРОД НАРЬЯН-МАР"</w:t>
      </w:r>
    </w:p>
    <w:p w:rsidR="00E96B18" w:rsidRDefault="00E96B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B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B18" w:rsidRDefault="00E96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B18" w:rsidRDefault="00E96B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E96B18" w:rsidRDefault="00E96B18">
            <w:pPr>
              <w:pStyle w:val="ConsPlusNormal"/>
              <w:jc w:val="center"/>
            </w:pPr>
            <w:r>
              <w:rPr>
                <w:color w:val="392C69"/>
              </w:rPr>
              <w:t>НАО от 20.11.2019 N 51)</w:t>
            </w:r>
          </w:p>
        </w:tc>
      </w:tr>
    </w:tbl>
    <w:p w:rsidR="00E96B18" w:rsidRDefault="00E96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2098"/>
        <w:gridCol w:w="1417"/>
        <w:gridCol w:w="819"/>
        <w:gridCol w:w="1556"/>
        <w:gridCol w:w="1842"/>
      </w:tblGrid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417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19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398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Вода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098" w:type="dxa"/>
            <w:vMerge/>
          </w:tcPr>
          <w:p w:rsidR="00E96B18" w:rsidRDefault="00E96B18"/>
        </w:tc>
        <w:tc>
          <w:tcPr>
            <w:tcW w:w="1417" w:type="dxa"/>
            <w:vMerge/>
          </w:tcPr>
          <w:p w:rsidR="00E96B18" w:rsidRDefault="00E96B18"/>
        </w:tc>
        <w:tc>
          <w:tcPr>
            <w:tcW w:w="819" w:type="dxa"/>
            <w:vMerge/>
          </w:tcPr>
          <w:p w:rsidR="00E96B18" w:rsidRDefault="00E96B18"/>
        </w:tc>
        <w:tc>
          <w:tcPr>
            <w:tcW w:w="1556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842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 w:val="restart"/>
          </w:tcPr>
          <w:p w:rsidR="00E96B18" w:rsidRDefault="00E96B18">
            <w:pPr>
              <w:pStyle w:val="ConsPlusNormal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5634" w:type="dxa"/>
            <w:gridSpan w:val="4"/>
          </w:tcPr>
          <w:p w:rsidR="00E96B18" w:rsidRDefault="00E96B18">
            <w:pPr>
              <w:pStyle w:val="ConsPlusNormal"/>
            </w:pPr>
            <w:r>
              <w:t>Население и потребители, приравненные к населению, за исключением указанных в пункте 2 (тарифы указываются с учетом НДС) &lt;*&gt;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098" w:type="dxa"/>
            <w:vMerge/>
          </w:tcPr>
          <w:p w:rsidR="00E96B18" w:rsidRDefault="00E96B18"/>
        </w:tc>
        <w:tc>
          <w:tcPr>
            <w:tcW w:w="1417" w:type="dxa"/>
            <w:vMerge w:val="restart"/>
          </w:tcPr>
          <w:p w:rsidR="00E96B18" w:rsidRDefault="00E96B1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6" w:type="dxa"/>
          </w:tcPr>
          <w:p w:rsidR="00E96B18" w:rsidRDefault="00E96B18">
            <w:pPr>
              <w:pStyle w:val="ConsPlusNormal"/>
              <w:jc w:val="center"/>
            </w:pPr>
            <w:r>
              <w:t>1 743,56</w:t>
            </w:r>
          </w:p>
        </w:tc>
        <w:tc>
          <w:tcPr>
            <w:tcW w:w="1842" w:type="dxa"/>
          </w:tcPr>
          <w:p w:rsidR="00E96B18" w:rsidRDefault="00E96B18">
            <w:pPr>
              <w:pStyle w:val="ConsPlusNormal"/>
              <w:jc w:val="center"/>
            </w:pPr>
            <w:r>
              <w:t>1 785,40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098" w:type="dxa"/>
            <w:vMerge/>
          </w:tcPr>
          <w:p w:rsidR="00E96B18" w:rsidRDefault="00E96B18"/>
        </w:tc>
        <w:tc>
          <w:tcPr>
            <w:tcW w:w="1417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6" w:type="dxa"/>
          </w:tcPr>
          <w:p w:rsidR="00E96B18" w:rsidRDefault="00E96B18">
            <w:pPr>
              <w:pStyle w:val="ConsPlusNormal"/>
              <w:jc w:val="center"/>
            </w:pPr>
            <w:r>
              <w:t>1 785,40</w:t>
            </w:r>
          </w:p>
        </w:tc>
        <w:tc>
          <w:tcPr>
            <w:tcW w:w="1842" w:type="dxa"/>
          </w:tcPr>
          <w:p w:rsidR="00E96B18" w:rsidRDefault="00E96B18">
            <w:pPr>
              <w:pStyle w:val="ConsPlusNormal"/>
              <w:jc w:val="center"/>
            </w:pPr>
            <w:r>
              <w:t>1 828,25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098" w:type="dxa"/>
            <w:vMerge/>
          </w:tcPr>
          <w:p w:rsidR="00E96B18" w:rsidRDefault="00E96B18"/>
        </w:tc>
        <w:tc>
          <w:tcPr>
            <w:tcW w:w="1417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6" w:type="dxa"/>
          </w:tcPr>
          <w:p w:rsidR="00E96B18" w:rsidRDefault="00E96B18">
            <w:pPr>
              <w:pStyle w:val="ConsPlusNormal"/>
              <w:jc w:val="center"/>
            </w:pPr>
            <w:r>
              <w:t>1 828,25</w:t>
            </w:r>
          </w:p>
        </w:tc>
        <w:tc>
          <w:tcPr>
            <w:tcW w:w="1842" w:type="dxa"/>
          </w:tcPr>
          <w:p w:rsidR="00E96B18" w:rsidRDefault="00E96B18">
            <w:pPr>
              <w:pStyle w:val="ConsPlusNormal"/>
              <w:jc w:val="center"/>
            </w:pPr>
            <w:r>
              <w:t>1 872,13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098" w:type="dxa"/>
            <w:vMerge/>
          </w:tcPr>
          <w:p w:rsidR="00E96B18" w:rsidRDefault="00E96B18"/>
        </w:tc>
        <w:tc>
          <w:tcPr>
            <w:tcW w:w="1417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6" w:type="dxa"/>
          </w:tcPr>
          <w:p w:rsidR="00E96B18" w:rsidRDefault="00E96B18">
            <w:pPr>
              <w:pStyle w:val="ConsPlusNormal"/>
              <w:jc w:val="center"/>
            </w:pPr>
            <w:r>
              <w:t>1 872,13</w:t>
            </w:r>
          </w:p>
        </w:tc>
        <w:tc>
          <w:tcPr>
            <w:tcW w:w="1842" w:type="dxa"/>
          </w:tcPr>
          <w:p w:rsidR="00E96B18" w:rsidRDefault="00E96B18">
            <w:pPr>
              <w:pStyle w:val="ConsPlusNormal"/>
              <w:jc w:val="center"/>
            </w:pPr>
            <w:r>
              <w:t>1 917,06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098" w:type="dxa"/>
            <w:vMerge/>
          </w:tcPr>
          <w:p w:rsidR="00E96B18" w:rsidRDefault="00E96B18"/>
        </w:tc>
        <w:tc>
          <w:tcPr>
            <w:tcW w:w="1417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6" w:type="dxa"/>
          </w:tcPr>
          <w:p w:rsidR="00E96B18" w:rsidRDefault="00E96B18">
            <w:pPr>
              <w:pStyle w:val="ConsPlusNormal"/>
              <w:jc w:val="center"/>
            </w:pPr>
            <w:r>
              <w:t>1 917,06</w:t>
            </w:r>
          </w:p>
        </w:tc>
        <w:tc>
          <w:tcPr>
            <w:tcW w:w="1842" w:type="dxa"/>
          </w:tcPr>
          <w:p w:rsidR="00E96B18" w:rsidRDefault="00E96B18">
            <w:pPr>
              <w:pStyle w:val="ConsPlusNormal"/>
              <w:jc w:val="center"/>
            </w:pPr>
            <w:r>
              <w:t>1 963,07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bookmarkStart w:id="4" w:name="P270"/>
            <w:bookmarkEnd w:id="4"/>
            <w:r>
              <w:t>2</w:t>
            </w:r>
          </w:p>
        </w:tc>
        <w:tc>
          <w:tcPr>
            <w:tcW w:w="2098" w:type="dxa"/>
            <w:vMerge/>
          </w:tcPr>
          <w:p w:rsidR="00E96B18" w:rsidRDefault="00E96B18"/>
        </w:tc>
        <w:tc>
          <w:tcPr>
            <w:tcW w:w="5634" w:type="dxa"/>
            <w:gridSpan w:val="4"/>
          </w:tcPr>
          <w:p w:rsidR="00E96B18" w:rsidRDefault="00E96B18">
            <w:pPr>
              <w:pStyle w:val="ConsPlusNormal"/>
            </w:pPr>
            <w:r>
              <w:t>Население, проживающее в двухэтажных многоквартирных жилых домах до 1999 года постройки включительно, не оборудованных общедомовыми приборами учета тепловой энергии, и потребители, приравненные к населению (тарифы указываются с учетом НДС) &lt;*&gt;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098" w:type="dxa"/>
            <w:vMerge/>
          </w:tcPr>
          <w:p w:rsidR="00E96B18" w:rsidRDefault="00E96B18"/>
        </w:tc>
        <w:tc>
          <w:tcPr>
            <w:tcW w:w="1417" w:type="dxa"/>
            <w:vMerge w:val="restart"/>
          </w:tcPr>
          <w:p w:rsidR="00E96B18" w:rsidRDefault="00E96B1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</w:t>
            </w:r>
            <w:r>
              <w:lastRenderedPageBreak/>
              <w:t>руб./Гкал</w:t>
            </w:r>
          </w:p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56" w:type="dxa"/>
          </w:tcPr>
          <w:p w:rsidR="00E96B18" w:rsidRDefault="00E96B18">
            <w:pPr>
              <w:pStyle w:val="ConsPlusNormal"/>
              <w:jc w:val="center"/>
            </w:pPr>
            <w:r>
              <w:t>1 372,27</w:t>
            </w:r>
          </w:p>
        </w:tc>
        <w:tc>
          <w:tcPr>
            <w:tcW w:w="1842" w:type="dxa"/>
          </w:tcPr>
          <w:p w:rsidR="00E96B18" w:rsidRDefault="00E96B18">
            <w:pPr>
              <w:pStyle w:val="ConsPlusNormal"/>
              <w:jc w:val="center"/>
            </w:pPr>
            <w:r>
              <w:t>1 405,21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098" w:type="dxa"/>
            <w:vMerge/>
          </w:tcPr>
          <w:p w:rsidR="00E96B18" w:rsidRDefault="00E96B18"/>
        </w:tc>
        <w:tc>
          <w:tcPr>
            <w:tcW w:w="1417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6" w:type="dxa"/>
          </w:tcPr>
          <w:p w:rsidR="00E96B18" w:rsidRDefault="00E96B18">
            <w:pPr>
              <w:pStyle w:val="ConsPlusNormal"/>
              <w:jc w:val="center"/>
            </w:pPr>
            <w:r>
              <w:t>1 405,21</w:t>
            </w:r>
          </w:p>
        </w:tc>
        <w:tc>
          <w:tcPr>
            <w:tcW w:w="1842" w:type="dxa"/>
          </w:tcPr>
          <w:p w:rsidR="00E96B18" w:rsidRDefault="00E96B18">
            <w:pPr>
              <w:pStyle w:val="ConsPlusNormal"/>
              <w:jc w:val="center"/>
            </w:pPr>
            <w:r>
              <w:t>1 438,93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098" w:type="dxa"/>
            <w:vMerge/>
          </w:tcPr>
          <w:p w:rsidR="00E96B18" w:rsidRDefault="00E96B18"/>
        </w:tc>
        <w:tc>
          <w:tcPr>
            <w:tcW w:w="1417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6" w:type="dxa"/>
          </w:tcPr>
          <w:p w:rsidR="00E96B18" w:rsidRDefault="00E96B18">
            <w:pPr>
              <w:pStyle w:val="ConsPlusNormal"/>
              <w:jc w:val="center"/>
            </w:pPr>
            <w:r>
              <w:t>1 438,93</w:t>
            </w:r>
          </w:p>
        </w:tc>
        <w:tc>
          <w:tcPr>
            <w:tcW w:w="1842" w:type="dxa"/>
          </w:tcPr>
          <w:p w:rsidR="00E96B18" w:rsidRDefault="00E96B18">
            <w:pPr>
              <w:pStyle w:val="ConsPlusNormal"/>
              <w:jc w:val="center"/>
            </w:pPr>
            <w:r>
              <w:t>1 473,46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098" w:type="dxa"/>
            <w:vMerge/>
          </w:tcPr>
          <w:p w:rsidR="00E96B18" w:rsidRDefault="00E96B18"/>
        </w:tc>
        <w:tc>
          <w:tcPr>
            <w:tcW w:w="1417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6" w:type="dxa"/>
          </w:tcPr>
          <w:p w:rsidR="00E96B18" w:rsidRDefault="00E96B18">
            <w:pPr>
              <w:pStyle w:val="ConsPlusNormal"/>
              <w:jc w:val="center"/>
            </w:pPr>
            <w:r>
              <w:t>1 473,46</w:t>
            </w:r>
          </w:p>
        </w:tc>
        <w:tc>
          <w:tcPr>
            <w:tcW w:w="1842" w:type="dxa"/>
          </w:tcPr>
          <w:p w:rsidR="00E96B18" w:rsidRDefault="00E96B18">
            <w:pPr>
              <w:pStyle w:val="ConsPlusNormal"/>
              <w:jc w:val="center"/>
            </w:pPr>
            <w:r>
              <w:t>1 508,83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098" w:type="dxa"/>
            <w:vMerge/>
          </w:tcPr>
          <w:p w:rsidR="00E96B18" w:rsidRDefault="00E96B18"/>
        </w:tc>
        <w:tc>
          <w:tcPr>
            <w:tcW w:w="1417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6" w:type="dxa"/>
          </w:tcPr>
          <w:p w:rsidR="00E96B18" w:rsidRDefault="00E96B18">
            <w:pPr>
              <w:pStyle w:val="ConsPlusNormal"/>
              <w:jc w:val="center"/>
            </w:pPr>
            <w:r>
              <w:t>1 508,83</w:t>
            </w:r>
          </w:p>
        </w:tc>
        <w:tc>
          <w:tcPr>
            <w:tcW w:w="1842" w:type="dxa"/>
          </w:tcPr>
          <w:p w:rsidR="00E96B18" w:rsidRDefault="00E96B18">
            <w:pPr>
              <w:pStyle w:val="ConsPlusNormal"/>
              <w:jc w:val="center"/>
            </w:pPr>
            <w:r>
              <w:t>1 545,04</w:t>
            </w:r>
          </w:p>
        </w:tc>
      </w:tr>
    </w:tbl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--------------------------------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Примечание: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01.01.2019 по 30.06.2019 - 2 360,00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01.07.2019 по 31.12.2019 - 2 438,11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01.01.2020 по 30.06.2020 - 2 438,11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01.07.2020 по 31.12.2020 - 2 653,25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01.01.2021 по 30.06.2021 - 2 401,50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01.07.2021 по 31.12.2021 - 2 409,12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01.01.2022 по 30.06.2022 - 2 340,00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01.07.2022 по 31.12.2022 - 2 367,57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01.01.2023 по 30.06.2023 - 2 367,57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01.07.2023 по 31.12.2023 - 2 482,30 руб./Гкал.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right"/>
        <w:outlineLvl w:val="0"/>
      </w:pPr>
      <w:r>
        <w:t>Приложение 4</w:t>
      </w:r>
    </w:p>
    <w:p w:rsidR="00E96B18" w:rsidRDefault="00E96B18">
      <w:pPr>
        <w:pStyle w:val="ConsPlusNormal"/>
        <w:jc w:val="right"/>
      </w:pPr>
      <w:r>
        <w:t>к приказу Управления по государственному</w:t>
      </w:r>
    </w:p>
    <w:p w:rsidR="00E96B18" w:rsidRDefault="00E96B18">
      <w:pPr>
        <w:pStyle w:val="ConsPlusNormal"/>
        <w:jc w:val="right"/>
      </w:pPr>
      <w:r>
        <w:t>регулированию цен (тарифов)</w:t>
      </w:r>
    </w:p>
    <w:p w:rsidR="00E96B18" w:rsidRDefault="00E96B18">
      <w:pPr>
        <w:pStyle w:val="ConsPlusNormal"/>
        <w:jc w:val="right"/>
      </w:pPr>
      <w:r>
        <w:t>Ненецкого автономного округа</w:t>
      </w:r>
    </w:p>
    <w:p w:rsidR="00E96B18" w:rsidRDefault="00E96B18">
      <w:pPr>
        <w:pStyle w:val="ConsPlusNormal"/>
        <w:jc w:val="right"/>
      </w:pPr>
      <w:r>
        <w:t>от 18.12.2018 N 72</w:t>
      </w:r>
    </w:p>
    <w:p w:rsidR="00E96B18" w:rsidRDefault="00E96B18">
      <w:pPr>
        <w:pStyle w:val="ConsPlusNormal"/>
        <w:jc w:val="right"/>
      </w:pPr>
      <w:r>
        <w:t>"Об установлении долгосрочных параметров</w:t>
      </w:r>
    </w:p>
    <w:p w:rsidR="00E96B18" w:rsidRDefault="00E96B18">
      <w:pPr>
        <w:pStyle w:val="ConsPlusNormal"/>
        <w:jc w:val="right"/>
      </w:pPr>
      <w:r>
        <w:t>регулирования и тарифов в сфере теплоснабжения</w:t>
      </w:r>
    </w:p>
    <w:p w:rsidR="00E96B18" w:rsidRDefault="00E96B18">
      <w:pPr>
        <w:pStyle w:val="ConsPlusNormal"/>
        <w:jc w:val="right"/>
      </w:pPr>
      <w:r>
        <w:t>для государственного унитарного предприятия</w:t>
      </w:r>
    </w:p>
    <w:p w:rsidR="00E96B18" w:rsidRDefault="00E96B18">
      <w:pPr>
        <w:pStyle w:val="ConsPlusNormal"/>
        <w:jc w:val="right"/>
      </w:pPr>
      <w:r>
        <w:t>Ненецкого автономного округа "Ненецкая</w:t>
      </w:r>
    </w:p>
    <w:p w:rsidR="00E96B18" w:rsidRDefault="00E96B18">
      <w:pPr>
        <w:pStyle w:val="ConsPlusNormal"/>
        <w:jc w:val="right"/>
      </w:pPr>
      <w:proofErr w:type="gramStart"/>
      <w:r>
        <w:t>коммунальная</w:t>
      </w:r>
      <w:proofErr w:type="gramEnd"/>
      <w:r>
        <w:t xml:space="preserve"> компания" на долгосрочный период</w:t>
      </w:r>
    </w:p>
    <w:p w:rsidR="00E96B18" w:rsidRDefault="00E96B18">
      <w:pPr>
        <w:pStyle w:val="ConsPlusNormal"/>
        <w:jc w:val="right"/>
      </w:pPr>
      <w:r>
        <w:t>регулирования 2019 - 2023 годов"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Title"/>
        <w:jc w:val="center"/>
      </w:pPr>
      <w:bookmarkStart w:id="5" w:name="P322"/>
      <w:bookmarkEnd w:id="5"/>
      <w:r>
        <w:lastRenderedPageBreak/>
        <w:t>ЛЬГОТНЫЕ ТАРИФЫ</w:t>
      </w:r>
    </w:p>
    <w:p w:rsidR="00E96B18" w:rsidRDefault="00E96B18">
      <w:pPr>
        <w:pStyle w:val="ConsPlusTitle"/>
        <w:jc w:val="center"/>
      </w:pPr>
      <w:r>
        <w:t>НА ТЕПЛОВУЮ ЭНЕРГИЮ (МОЩНОСТЬ), ПОСТАВЛЯЕМУЮ НАСЕЛЕНИЮ</w:t>
      </w:r>
    </w:p>
    <w:p w:rsidR="00E96B18" w:rsidRDefault="00E96B18">
      <w:pPr>
        <w:pStyle w:val="ConsPlusTitle"/>
        <w:jc w:val="center"/>
      </w:pPr>
      <w:r>
        <w:t>И ПОТРЕБИТЕЛЯМ, ПРИРАВНЕННЫМ К НАСЕЛЕНИЮ НА ТЕРРИТОРИИ</w:t>
      </w:r>
    </w:p>
    <w:p w:rsidR="00E96B18" w:rsidRDefault="00E96B18">
      <w:pPr>
        <w:pStyle w:val="ConsPlusTitle"/>
        <w:jc w:val="center"/>
      </w:pPr>
      <w:r>
        <w:t>МУНИЦИПАЛЬНОГО ОБРАЗОВАНИЯ "ГОРОДСКОЕ ПОСЕЛЕНИЕ</w:t>
      </w:r>
    </w:p>
    <w:p w:rsidR="00E96B18" w:rsidRDefault="00E96B18">
      <w:pPr>
        <w:pStyle w:val="ConsPlusTitle"/>
        <w:jc w:val="center"/>
      </w:pPr>
      <w:r>
        <w:t>"РАБОЧИЙ ПОСЕЛОК ИСКАТЕЛЕЙ"</w:t>
      </w:r>
    </w:p>
    <w:p w:rsidR="00E96B18" w:rsidRDefault="00E96B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B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B18" w:rsidRDefault="00E96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B18" w:rsidRDefault="00E96B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Управления по государственному регулированию цен (тарифов)</w:t>
            </w:r>
            <w:proofErr w:type="gramEnd"/>
          </w:p>
          <w:p w:rsidR="00E96B18" w:rsidRDefault="00E96B18">
            <w:pPr>
              <w:pStyle w:val="ConsPlusNormal"/>
              <w:jc w:val="center"/>
            </w:pPr>
            <w:r>
              <w:rPr>
                <w:color w:val="392C69"/>
              </w:rPr>
              <w:t>НАО от 20.11.2019 N 51)</w:t>
            </w:r>
          </w:p>
        </w:tc>
      </w:tr>
    </w:tbl>
    <w:p w:rsidR="00E96B18" w:rsidRDefault="00E96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2161"/>
        <w:gridCol w:w="1871"/>
        <w:gridCol w:w="851"/>
        <w:gridCol w:w="1559"/>
        <w:gridCol w:w="1559"/>
      </w:tblGrid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1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71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51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8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Вода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  <w:vMerge/>
          </w:tcPr>
          <w:p w:rsidR="00E96B18" w:rsidRDefault="00E96B18"/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1" w:type="dxa"/>
            <w:vMerge w:val="restart"/>
          </w:tcPr>
          <w:p w:rsidR="00E96B18" w:rsidRDefault="00E96B18">
            <w:pPr>
              <w:pStyle w:val="ConsPlusNormal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5840" w:type="dxa"/>
            <w:gridSpan w:val="4"/>
          </w:tcPr>
          <w:p w:rsidR="00E96B18" w:rsidRDefault="00E96B18">
            <w:pPr>
              <w:pStyle w:val="ConsPlusNormal"/>
              <w:jc w:val="center"/>
            </w:pPr>
            <w:r>
              <w:t>Население, проживающее в одноэтажных многоквартирных жилых домах до 1999 года постройки включительно, не оборудованных общедомовыми приборами учета тепловой энергии, и потребители, приравненные к населению (тарифы указываются с учетом НДС) &lt;*&gt;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1351,15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1383,58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1383,58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1416,79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1416,79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1450,79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1450,79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1485,61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1485,61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1521,26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61" w:type="dxa"/>
            <w:vMerge/>
          </w:tcPr>
          <w:p w:rsidR="00E96B18" w:rsidRDefault="00E96B18"/>
        </w:tc>
        <w:tc>
          <w:tcPr>
            <w:tcW w:w="5840" w:type="dxa"/>
            <w:gridSpan w:val="4"/>
          </w:tcPr>
          <w:p w:rsidR="00E96B18" w:rsidRDefault="00E96B18">
            <w:pPr>
              <w:pStyle w:val="ConsPlusNormal"/>
              <w:jc w:val="center"/>
            </w:pPr>
            <w:r>
              <w:t>Население, проживающее в двухэтажных многоквартирных жилых домах до 1999 года постройки включительно, не оборудованных общедомовыми приборами учета тепловой энергии, и потребители, приравненные к населению (тарифы указываются с учетом НДС) &lt;*&gt;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руб./Гкал</w:t>
            </w:r>
          </w:p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1463,76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1498,89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1498,89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1534,86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1534,86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1571,70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1571,70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1609,42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1609,42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1648,05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61" w:type="dxa"/>
            <w:vMerge w:val="restart"/>
          </w:tcPr>
          <w:p w:rsidR="00E96B18" w:rsidRDefault="00E96B18">
            <w:pPr>
              <w:pStyle w:val="ConsPlusNormal"/>
            </w:pPr>
            <w:proofErr w:type="gramStart"/>
            <w:r>
              <w:t xml:space="preserve">Государственное унитарное предприятие Ненецкого автономного округа "Ненецкая </w:t>
            </w:r>
            <w:r>
              <w:lastRenderedPageBreak/>
              <w:t>коммунальная компания"</w:t>
            </w:r>
            <w:proofErr w:type="gramEnd"/>
          </w:p>
        </w:tc>
        <w:tc>
          <w:tcPr>
            <w:tcW w:w="5840" w:type="dxa"/>
            <w:gridSpan w:val="4"/>
          </w:tcPr>
          <w:p w:rsidR="00E96B18" w:rsidRDefault="00E96B18">
            <w:pPr>
              <w:pStyle w:val="ConsPlusNormal"/>
              <w:jc w:val="center"/>
            </w:pPr>
            <w:r>
              <w:lastRenderedPageBreak/>
              <w:t>Население, проживающее в трехэтажных многоквартирных жилых домах до 1999 года постройки включительно, не оборудованных общедомовыми приборами учета тепловой энергии, и потребители, приравненные к населению (тарифы указываются с учетом НДС) &lt;*&gt;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</w:t>
            </w:r>
            <w:r>
              <w:lastRenderedPageBreak/>
              <w:t>тариф, руб./Гкал</w:t>
            </w:r>
          </w:p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2 342,02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2 398,22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-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2 455,78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2 514,72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2 514,72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2 575,07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161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51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2 575,07</w:t>
            </w:r>
          </w:p>
        </w:tc>
        <w:tc>
          <w:tcPr>
            <w:tcW w:w="1559" w:type="dxa"/>
          </w:tcPr>
          <w:p w:rsidR="00E96B18" w:rsidRDefault="00E96B18">
            <w:pPr>
              <w:pStyle w:val="ConsPlusNormal"/>
              <w:jc w:val="center"/>
            </w:pPr>
            <w:r>
              <w:t>2 636,88</w:t>
            </w:r>
          </w:p>
        </w:tc>
      </w:tr>
    </w:tbl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--------------------------------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Примечание: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01.01.2019 по 30.06.2019 - 2 011,68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01.07.2019 по 31.12.2019 - 2 055,71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01.01.2020 по 30.06.2020 - 1950, 00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01.07.2020 по 31.12.2020 - 1 984,27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01.01.2021 по 30.06.2021 - 2 206,77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01.07.2021 по 31.12.2021 - 2 366,62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01.01.2022 по 30.06.2022 - 2 345,00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01.07.2022 по 31.12.2022 - 2 362,53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01.01.2023 по 30.06.2023 - 2 362,53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01.07.2023 по 31.12.2023 - 2 393,85 руб./Гкал.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right"/>
        <w:outlineLvl w:val="0"/>
      </w:pPr>
      <w:r>
        <w:t>Приложение 5</w:t>
      </w:r>
    </w:p>
    <w:p w:rsidR="00E96B18" w:rsidRDefault="00E96B18">
      <w:pPr>
        <w:pStyle w:val="ConsPlusNormal"/>
        <w:jc w:val="right"/>
      </w:pPr>
      <w:r>
        <w:t>к приказу Управления по государственному</w:t>
      </w:r>
    </w:p>
    <w:p w:rsidR="00E96B18" w:rsidRDefault="00E96B18">
      <w:pPr>
        <w:pStyle w:val="ConsPlusNormal"/>
        <w:jc w:val="right"/>
      </w:pPr>
      <w:r>
        <w:t>регулированию цен (тарифов)</w:t>
      </w:r>
    </w:p>
    <w:p w:rsidR="00E96B18" w:rsidRDefault="00E96B18">
      <w:pPr>
        <w:pStyle w:val="ConsPlusNormal"/>
        <w:jc w:val="right"/>
      </w:pPr>
      <w:r>
        <w:t>Ненецкого автономного округа</w:t>
      </w:r>
    </w:p>
    <w:p w:rsidR="00E96B18" w:rsidRDefault="00E96B18">
      <w:pPr>
        <w:pStyle w:val="ConsPlusNormal"/>
        <w:jc w:val="right"/>
      </w:pPr>
      <w:r>
        <w:t>от 18.12.2018 N 72</w:t>
      </w:r>
    </w:p>
    <w:p w:rsidR="00E96B18" w:rsidRDefault="00E96B18">
      <w:pPr>
        <w:pStyle w:val="ConsPlusNormal"/>
        <w:jc w:val="right"/>
      </w:pPr>
      <w:r>
        <w:t>"Об установлении долгосрочных параметров</w:t>
      </w:r>
    </w:p>
    <w:p w:rsidR="00E96B18" w:rsidRDefault="00E96B18">
      <w:pPr>
        <w:pStyle w:val="ConsPlusNormal"/>
        <w:jc w:val="right"/>
      </w:pPr>
      <w:r>
        <w:t>регулирования и тарифов в сфере теплоснабжения</w:t>
      </w:r>
    </w:p>
    <w:p w:rsidR="00E96B18" w:rsidRDefault="00E96B18">
      <w:pPr>
        <w:pStyle w:val="ConsPlusNormal"/>
        <w:jc w:val="right"/>
      </w:pPr>
      <w:r>
        <w:t>для государственного унитарного предприятия</w:t>
      </w:r>
    </w:p>
    <w:p w:rsidR="00E96B18" w:rsidRDefault="00E96B18">
      <w:pPr>
        <w:pStyle w:val="ConsPlusNormal"/>
        <w:jc w:val="right"/>
      </w:pPr>
      <w:r>
        <w:t>Ненецкого автономного округа "Ненецкая</w:t>
      </w:r>
    </w:p>
    <w:p w:rsidR="00E96B18" w:rsidRDefault="00E96B18">
      <w:pPr>
        <w:pStyle w:val="ConsPlusNormal"/>
        <w:jc w:val="right"/>
      </w:pPr>
      <w:proofErr w:type="gramStart"/>
      <w:r>
        <w:t>коммунальная</w:t>
      </w:r>
      <w:proofErr w:type="gramEnd"/>
      <w:r>
        <w:t xml:space="preserve"> компания" на долгосрочный период</w:t>
      </w:r>
    </w:p>
    <w:p w:rsidR="00E96B18" w:rsidRDefault="00E96B18">
      <w:pPr>
        <w:pStyle w:val="ConsPlusNormal"/>
        <w:jc w:val="right"/>
      </w:pPr>
      <w:r>
        <w:lastRenderedPageBreak/>
        <w:t>регулирования 2019 - 2023 годов"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Title"/>
        <w:jc w:val="center"/>
      </w:pPr>
      <w:bookmarkStart w:id="6" w:name="P428"/>
      <w:bookmarkEnd w:id="6"/>
      <w:r>
        <w:t>ТАРИФЫ</w:t>
      </w:r>
    </w:p>
    <w:p w:rsidR="00E96B18" w:rsidRDefault="00E96B18">
      <w:pPr>
        <w:pStyle w:val="ConsPlusTitle"/>
        <w:jc w:val="center"/>
      </w:pPr>
      <w:r>
        <w:t>НА ТЕПЛОНОСИТЕЛЬ, ПОСТАВЛЯЕМЫЙ ПОТРЕБИТЕЛЯМ</w:t>
      </w:r>
    </w:p>
    <w:p w:rsidR="00E96B18" w:rsidRDefault="00E96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2494"/>
        <w:gridCol w:w="1644"/>
        <w:gridCol w:w="819"/>
        <w:gridCol w:w="1449"/>
        <w:gridCol w:w="1736"/>
      </w:tblGrid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64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819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85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Вода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  <w:vMerge/>
          </w:tcPr>
          <w:p w:rsidR="00E96B18" w:rsidRDefault="00E96B18"/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96B18">
        <w:tc>
          <w:tcPr>
            <w:tcW w:w="674" w:type="dxa"/>
          </w:tcPr>
          <w:p w:rsidR="00E96B18" w:rsidRDefault="00E96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96B18" w:rsidRDefault="00E96B18">
            <w:pPr>
              <w:pStyle w:val="ConsPlusNormal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5648" w:type="dxa"/>
            <w:gridSpan w:val="4"/>
          </w:tcPr>
          <w:p w:rsidR="00E96B18" w:rsidRDefault="00E96B18">
            <w:pPr>
              <w:pStyle w:val="ConsPlusNormal"/>
            </w:pPr>
            <w: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Merge w:val="restart"/>
          </w:tcPr>
          <w:p w:rsidR="00E96B18" w:rsidRDefault="00E96B18">
            <w:pPr>
              <w:pStyle w:val="ConsPlusNormal"/>
            </w:pPr>
            <w:r>
              <w:t>На территории МО "Городской округ "Город Нарьян-Мар"</w:t>
            </w:r>
          </w:p>
        </w:tc>
        <w:tc>
          <w:tcPr>
            <w:tcW w:w="1644" w:type="dxa"/>
            <w:vMerge w:val="restart"/>
          </w:tcPr>
          <w:p w:rsidR="00E96B18" w:rsidRDefault="00E96B1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84,27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82,81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76,80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76,80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78,58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78,58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80,79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Merge w:val="restart"/>
          </w:tcPr>
          <w:p w:rsidR="00E96B18" w:rsidRDefault="00E96B18">
            <w:pPr>
              <w:pStyle w:val="ConsPlusNormal"/>
            </w:pPr>
            <w:r>
              <w:t>На территории МО "Городское поселение "Рабочий поселок Искателей"</w:t>
            </w:r>
          </w:p>
        </w:tc>
        <w:tc>
          <w:tcPr>
            <w:tcW w:w="1644" w:type="dxa"/>
            <w:vMerge w:val="restart"/>
          </w:tcPr>
          <w:p w:rsidR="00E96B18" w:rsidRDefault="00E96B1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41,10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47,60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45,40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46,66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46,66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51,13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47,79</w:t>
            </w:r>
          </w:p>
        </w:tc>
      </w:tr>
      <w:tr w:rsidR="00E96B18">
        <w:tc>
          <w:tcPr>
            <w:tcW w:w="674" w:type="dxa"/>
          </w:tcPr>
          <w:p w:rsidR="00E96B18" w:rsidRDefault="00E96B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E96B18" w:rsidRDefault="00E96B18">
            <w:pPr>
              <w:pStyle w:val="ConsPlusNormal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5648" w:type="dxa"/>
            <w:gridSpan w:val="4"/>
          </w:tcPr>
          <w:p w:rsidR="00E96B18" w:rsidRDefault="00E96B18">
            <w:pPr>
              <w:pStyle w:val="ConsPlusNormal"/>
            </w:pPr>
            <w:r>
              <w:t>Тариф на теплоноситель, поставляемый потребителям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Merge w:val="restart"/>
          </w:tcPr>
          <w:p w:rsidR="00E96B18" w:rsidRDefault="00E96B18">
            <w:pPr>
              <w:pStyle w:val="ConsPlusNormal"/>
            </w:pPr>
            <w:r>
              <w:t>На территории МО "Городской округ "Город Нарьян-Мар"</w:t>
            </w:r>
          </w:p>
        </w:tc>
        <w:tc>
          <w:tcPr>
            <w:tcW w:w="1644" w:type="dxa"/>
            <w:vMerge w:val="restart"/>
          </w:tcPr>
          <w:p w:rsidR="00E96B18" w:rsidRDefault="00E96B1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84,27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82,81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76,80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76,80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78,58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78,58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80,79</w:t>
            </w:r>
          </w:p>
        </w:tc>
      </w:tr>
      <w:tr w:rsidR="00E96B18">
        <w:tc>
          <w:tcPr>
            <w:tcW w:w="67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Merge w:val="restart"/>
          </w:tcPr>
          <w:p w:rsidR="00E96B18" w:rsidRDefault="00E96B18">
            <w:pPr>
              <w:pStyle w:val="ConsPlusNormal"/>
            </w:pPr>
            <w:r>
              <w:t xml:space="preserve">На территории МО "Городское поселение </w:t>
            </w:r>
            <w:r>
              <w:lastRenderedPageBreak/>
              <w:t>"Рабочий поселок Искателей"</w:t>
            </w:r>
          </w:p>
        </w:tc>
        <w:tc>
          <w:tcPr>
            <w:tcW w:w="164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proofErr w:type="spellStart"/>
            <w:r>
              <w:lastRenderedPageBreak/>
              <w:t>одноставочный</w:t>
            </w:r>
            <w:proofErr w:type="spellEnd"/>
            <w:r>
              <w:t xml:space="preserve"> тариф, руб./куб. </w:t>
            </w:r>
            <w:r>
              <w:lastRenderedPageBreak/>
              <w:t>м</w:t>
            </w:r>
          </w:p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41,10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47,60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45,40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46,66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46,66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51,13</w:t>
            </w:r>
          </w:p>
        </w:tc>
      </w:tr>
      <w:tr w:rsidR="00E96B18">
        <w:tc>
          <w:tcPr>
            <w:tcW w:w="674" w:type="dxa"/>
            <w:vMerge/>
          </w:tcPr>
          <w:p w:rsidR="00E96B18" w:rsidRDefault="00E96B18"/>
        </w:tc>
        <w:tc>
          <w:tcPr>
            <w:tcW w:w="2494" w:type="dxa"/>
            <w:vMerge/>
          </w:tcPr>
          <w:p w:rsidR="00E96B18" w:rsidRDefault="00E96B18"/>
        </w:tc>
        <w:tc>
          <w:tcPr>
            <w:tcW w:w="1644" w:type="dxa"/>
            <w:vMerge/>
          </w:tcPr>
          <w:p w:rsidR="00E96B18" w:rsidRDefault="00E96B18"/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47,79</w:t>
            </w:r>
          </w:p>
        </w:tc>
      </w:tr>
      <w:tr w:rsidR="00E96B18">
        <w:tc>
          <w:tcPr>
            <w:tcW w:w="674" w:type="dxa"/>
          </w:tcPr>
          <w:p w:rsidR="00E96B18" w:rsidRDefault="00E96B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96B18" w:rsidRDefault="00E96B18">
            <w:pPr>
              <w:pStyle w:val="ConsPlusNormal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5648" w:type="dxa"/>
            <w:gridSpan w:val="4"/>
          </w:tcPr>
          <w:p w:rsidR="00E96B18" w:rsidRDefault="00E96B18">
            <w:pPr>
              <w:pStyle w:val="ConsPlusNormal"/>
            </w:pPr>
            <w:r>
              <w:t>Тариф на теплоноситель, поставляемый населению и потребителям, приравненным к населению (тарифы указываются с учетом НДС) &lt;*&gt;</w:t>
            </w:r>
          </w:p>
        </w:tc>
      </w:tr>
      <w:tr w:rsidR="00E96B18">
        <w:tc>
          <w:tcPr>
            <w:tcW w:w="674" w:type="dxa"/>
          </w:tcPr>
          <w:p w:rsidR="00E96B18" w:rsidRDefault="00E96B18">
            <w:pPr>
              <w:pStyle w:val="ConsPlusNormal"/>
            </w:pPr>
            <w:r>
              <w:t>3.1</w:t>
            </w:r>
          </w:p>
        </w:tc>
        <w:tc>
          <w:tcPr>
            <w:tcW w:w="2494" w:type="dxa"/>
          </w:tcPr>
          <w:p w:rsidR="00E96B18" w:rsidRDefault="00E96B18">
            <w:pPr>
              <w:pStyle w:val="ConsPlusNormal"/>
            </w:pPr>
            <w:r>
              <w:t>На территории МО "Городское поселение "Рабочий поселок Искателей"</w:t>
            </w:r>
          </w:p>
        </w:tc>
        <w:tc>
          <w:tcPr>
            <w:tcW w:w="1644" w:type="dxa"/>
          </w:tcPr>
          <w:p w:rsidR="00E96B18" w:rsidRDefault="00E96B1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819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49" w:type="dxa"/>
          </w:tcPr>
          <w:p w:rsidR="00E96B18" w:rsidRDefault="00E96B18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1736" w:type="dxa"/>
          </w:tcPr>
          <w:p w:rsidR="00E96B18" w:rsidRDefault="00E96B18">
            <w:pPr>
              <w:pStyle w:val="ConsPlusNormal"/>
              <w:jc w:val="center"/>
            </w:pPr>
            <w:r>
              <w:t>49,32</w:t>
            </w:r>
          </w:p>
        </w:tc>
      </w:tr>
    </w:tbl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--------------------------------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right"/>
        <w:outlineLvl w:val="0"/>
      </w:pPr>
      <w:r>
        <w:t>Приложение 6</w:t>
      </w:r>
    </w:p>
    <w:p w:rsidR="00E96B18" w:rsidRDefault="00E96B18">
      <w:pPr>
        <w:pStyle w:val="ConsPlusNormal"/>
        <w:jc w:val="right"/>
      </w:pPr>
      <w:r>
        <w:t>к приказу Управления по государственному</w:t>
      </w:r>
    </w:p>
    <w:p w:rsidR="00E96B18" w:rsidRDefault="00E96B18">
      <w:pPr>
        <w:pStyle w:val="ConsPlusNormal"/>
        <w:jc w:val="right"/>
      </w:pPr>
      <w:r>
        <w:t>регулированию цен (тарифов)</w:t>
      </w:r>
    </w:p>
    <w:p w:rsidR="00E96B18" w:rsidRDefault="00E96B18">
      <w:pPr>
        <w:pStyle w:val="ConsPlusNormal"/>
        <w:jc w:val="right"/>
      </w:pPr>
      <w:r>
        <w:t>Ненецкого автономного округа</w:t>
      </w:r>
    </w:p>
    <w:p w:rsidR="00E96B18" w:rsidRDefault="00E96B18">
      <w:pPr>
        <w:pStyle w:val="ConsPlusNormal"/>
        <w:jc w:val="right"/>
      </w:pPr>
      <w:r>
        <w:t>от 18.12.2018 N 72</w:t>
      </w:r>
    </w:p>
    <w:p w:rsidR="00E96B18" w:rsidRDefault="00E96B18">
      <w:pPr>
        <w:pStyle w:val="ConsPlusNormal"/>
        <w:jc w:val="right"/>
      </w:pPr>
      <w:r>
        <w:t>"Об установлении долгосрочных параметров</w:t>
      </w:r>
    </w:p>
    <w:p w:rsidR="00E96B18" w:rsidRDefault="00E96B18">
      <w:pPr>
        <w:pStyle w:val="ConsPlusNormal"/>
        <w:jc w:val="right"/>
      </w:pPr>
      <w:r>
        <w:t>регулирования и тарифов в сфере теплоснабжения</w:t>
      </w:r>
    </w:p>
    <w:p w:rsidR="00E96B18" w:rsidRDefault="00E96B18">
      <w:pPr>
        <w:pStyle w:val="ConsPlusNormal"/>
        <w:jc w:val="right"/>
      </w:pPr>
      <w:r>
        <w:t>для государственного унитарного предприятия</w:t>
      </w:r>
    </w:p>
    <w:p w:rsidR="00E96B18" w:rsidRDefault="00E96B18">
      <w:pPr>
        <w:pStyle w:val="ConsPlusNormal"/>
        <w:jc w:val="right"/>
      </w:pPr>
      <w:r>
        <w:t>Ненецкого автономного округа "Ненецкая</w:t>
      </w:r>
    </w:p>
    <w:p w:rsidR="00E96B18" w:rsidRDefault="00E96B18">
      <w:pPr>
        <w:pStyle w:val="ConsPlusNormal"/>
        <w:jc w:val="right"/>
      </w:pPr>
      <w:proofErr w:type="gramStart"/>
      <w:r>
        <w:t>коммунальная</w:t>
      </w:r>
      <w:proofErr w:type="gramEnd"/>
      <w:r>
        <w:t xml:space="preserve"> компания" на долгосрочный период</w:t>
      </w:r>
    </w:p>
    <w:p w:rsidR="00E96B18" w:rsidRDefault="00E96B18">
      <w:pPr>
        <w:pStyle w:val="ConsPlusNormal"/>
        <w:jc w:val="right"/>
      </w:pPr>
      <w:r>
        <w:t>регулирования 2019 - 2023 годов"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Title"/>
        <w:jc w:val="center"/>
      </w:pPr>
      <w:bookmarkStart w:id="7" w:name="P545"/>
      <w:bookmarkEnd w:id="7"/>
      <w:r>
        <w:t>ЛЬГОТНЫЕ ТАРИФЫ</w:t>
      </w:r>
    </w:p>
    <w:p w:rsidR="00E96B18" w:rsidRDefault="00E96B18">
      <w:pPr>
        <w:pStyle w:val="ConsPlusTitle"/>
        <w:jc w:val="center"/>
      </w:pPr>
      <w:r>
        <w:t>НА ТЕПЛОНОСИТЕЛЬ, ПОСТАВЛЯЕМЫЙ НАСЕЛЕНИЮ И ПОТРЕБИТЕЛЯМ,</w:t>
      </w:r>
    </w:p>
    <w:p w:rsidR="00E96B18" w:rsidRDefault="00E96B18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НАСЕЛЕНИЮ, НА ТЕРРИТОРИИ МУНИЦИПАЛЬНОГО</w:t>
      </w:r>
    </w:p>
    <w:p w:rsidR="00E96B18" w:rsidRDefault="00E96B18">
      <w:pPr>
        <w:pStyle w:val="ConsPlusTitle"/>
        <w:jc w:val="center"/>
      </w:pPr>
      <w:r>
        <w:t>ОБРАЗОВАНИЯ "ГОРОДСКОЙ ОКРУГ "ГОРОД НАРЬЯН-МАР"</w:t>
      </w:r>
    </w:p>
    <w:p w:rsidR="00E96B18" w:rsidRDefault="00E96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5"/>
        <w:gridCol w:w="775"/>
        <w:gridCol w:w="1474"/>
        <w:gridCol w:w="1531"/>
      </w:tblGrid>
      <w:tr w:rsidR="00E96B18">
        <w:tc>
          <w:tcPr>
            <w:tcW w:w="232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75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05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E96B18">
        <w:tc>
          <w:tcPr>
            <w:tcW w:w="2324" w:type="dxa"/>
            <w:vMerge/>
          </w:tcPr>
          <w:p w:rsidR="00E96B18" w:rsidRDefault="00E96B18"/>
        </w:tc>
        <w:tc>
          <w:tcPr>
            <w:tcW w:w="1985" w:type="dxa"/>
            <w:vMerge/>
          </w:tcPr>
          <w:p w:rsidR="00E96B18" w:rsidRDefault="00E96B18"/>
        </w:tc>
        <w:tc>
          <w:tcPr>
            <w:tcW w:w="775" w:type="dxa"/>
            <w:vMerge/>
          </w:tcPr>
          <w:p w:rsidR="00E96B18" w:rsidRDefault="00E96B18"/>
        </w:tc>
        <w:tc>
          <w:tcPr>
            <w:tcW w:w="3005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вода</w:t>
            </w:r>
          </w:p>
        </w:tc>
      </w:tr>
      <w:tr w:rsidR="00E96B18">
        <w:tc>
          <w:tcPr>
            <w:tcW w:w="2324" w:type="dxa"/>
            <w:vMerge/>
          </w:tcPr>
          <w:p w:rsidR="00E96B18" w:rsidRDefault="00E96B18"/>
        </w:tc>
        <w:tc>
          <w:tcPr>
            <w:tcW w:w="1985" w:type="dxa"/>
            <w:vMerge/>
          </w:tcPr>
          <w:p w:rsidR="00E96B18" w:rsidRDefault="00E96B18"/>
        </w:tc>
        <w:tc>
          <w:tcPr>
            <w:tcW w:w="775" w:type="dxa"/>
            <w:vMerge/>
          </w:tcPr>
          <w:p w:rsidR="00E96B18" w:rsidRDefault="00E96B18"/>
        </w:tc>
        <w:tc>
          <w:tcPr>
            <w:tcW w:w="1474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31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96B18">
        <w:tc>
          <w:tcPr>
            <w:tcW w:w="2324" w:type="dxa"/>
            <w:vMerge w:val="restart"/>
          </w:tcPr>
          <w:p w:rsidR="00E96B18" w:rsidRDefault="00E96B18">
            <w:pPr>
              <w:pStyle w:val="ConsPlusNormal"/>
            </w:pPr>
            <w:proofErr w:type="gramStart"/>
            <w:r>
              <w:t xml:space="preserve">Государственное унитарное предприятие </w:t>
            </w:r>
            <w:r>
              <w:lastRenderedPageBreak/>
              <w:t>Ненецкого автономного округа "Ненецкая коммунальная компания"</w:t>
            </w:r>
            <w:proofErr w:type="gramEnd"/>
          </w:p>
        </w:tc>
        <w:tc>
          <w:tcPr>
            <w:tcW w:w="5765" w:type="dxa"/>
            <w:gridSpan w:val="4"/>
          </w:tcPr>
          <w:p w:rsidR="00E96B18" w:rsidRDefault="00E96B18">
            <w:pPr>
              <w:pStyle w:val="ConsPlusNormal"/>
            </w:pPr>
            <w:r>
              <w:lastRenderedPageBreak/>
              <w:t>Льготный тариф на теплоноситель, поставляемый населению и потребителям, приравненным к населению (тарифы указываются с учетом НДС) &lt;*&gt;</w:t>
            </w:r>
          </w:p>
        </w:tc>
      </w:tr>
      <w:tr w:rsidR="00E96B18">
        <w:tc>
          <w:tcPr>
            <w:tcW w:w="2324" w:type="dxa"/>
            <w:vMerge/>
          </w:tcPr>
          <w:p w:rsidR="00E96B18" w:rsidRDefault="00E96B18"/>
        </w:tc>
        <w:tc>
          <w:tcPr>
            <w:tcW w:w="1985" w:type="dxa"/>
            <w:vMerge w:val="restart"/>
          </w:tcPr>
          <w:p w:rsidR="00E96B18" w:rsidRDefault="00E96B18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775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E96B18" w:rsidRDefault="00E96B18">
            <w:pPr>
              <w:pStyle w:val="ConsPlusNormal"/>
              <w:jc w:val="center"/>
            </w:pPr>
            <w:r>
              <w:t>51,32</w:t>
            </w:r>
          </w:p>
        </w:tc>
        <w:tc>
          <w:tcPr>
            <w:tcW w:w="1531" w:type="dxa"/>
          </w:tcPr>
          <w:p w:rsidR="00E96B18" w:rsidRDefault="00E96B18">
            <w:pPr>
              <w:pStyle w:val="ConsPlusNormal"/>
              <w:jc w:val="center"/>
            </w:pPr>
            <w:r>
              <w:t>52,56</w:t>
            </w:r>
          </w:p>
        </w:tc>
      </w:tr>
      <w:tr w:rsidR="00E96B18">
        <w:tc>
          <w:tcPr>
            <w:tcW w:w="2324" w:type="dxa"/>
            <w:vMerge/>
          </w:tcPr>
          <w:p w:rsidR="00E96B18" w:rsidRDefault="00E96B18"/>
        </w:tc>
        <w:tc>
          <w:tcPr>
            <w:tcW w:w="1985" w:type="dxa"/>
            <w:vMerge/>
          </w:tcPr>
          <w:p w:rsidR="00E96B18" w:rsidRDefault="00E96B18"/>
        </w:tc>
        <w:tc>
          <w:tcPr>
            <w:tcW w:w="775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E96B18" w:rsidRDefault="00E96B18">
            <w:pPr>
              <w:pStyle w:val="ConsPlusNormal"/>
              <w:jc w:val="center"/>
            </w:pPr>
            <w:r>
              <w:t>52,56</w:t>
            </w:r>
          </w:p>
        </w:tc>
        <w:tc>
          <w:tcPr>
            <w:tcW w:w="1531" w:type="dxa"/>
          </w:tcPr>
          <w:p w:rsidR="00E96B18" w:rsidRDefault="00E96B18">
            <w:pPr>
              <w:pStyle w:val="ConsPlusNormal"/>
              <w:jc w:val="center"/>
            </w:pPr>
            <w:r>
              <w:t>53,82</w:t>
            </w:r>
          </w:p>
        </w:tc>
      </w:tr>
      <w:tr w:rsidR="00E96B18">
        <w:tc>
          <w:tcPr>
            <w:tcW w:w="2324" w:type="dxa"/>
            <w:vMerge/>
          </w:tcPr>
          <w:p w:rsidR="00E96B18" w:rsidRDefault="00E96B18"/>
        </w:tc>
        <w:tc>
          <w:tcPr>
            <w:tcW w:w="1985" w:type="dxa"/>
            <w:vMerge/>
          </w:tcPr>
          <w:p w:rsidR="00E96B18" w:rsidRDefault="00E96B18"/>
        </w:tc>
        <w:tc>
          <w:tcPr>
            <w:tcW w:w="775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E96B18" w:rsidRDefault="00E96B18">
            <w:pPr>
              <w:pStyle w:val="ConsPlusNormal"/>
              <w:jc w:val="center"/>
            </w:pPr>
            <w:r>
              <w:t>53,82</w:t>
            </w:r>
          </w:p>
        </w:tc>
        <w:tc>
          <w:tcPr>
            <w:tcW w:w="1531" w:type="dxa"/>
          </w:tcPr>
          <w:p w:rsidR="00E96B18" w:rsidRDefault="00E96B18">
            <w:pPr>
              <w:pStyle w:val="ConsPlusNormal"/>
              <w:jc w:val="center"/>
            </w:pPr>
            <w:r>
              <w:t>55,12</w:t>
            </w:r>
          </w:p>
        </w:tc>
      </w:tr>
      <w:tr w:rsidR="00E96B18">
        <w:tc>
          <w:tcPr>
            <w:tcW w:w="2324" w:type="dxa"/>
            <w:vMerge/>
          </w:tcPr>
          <w:p w:rsidR="00E96B18" w:rsidRDefault="00E96B18"/>
        </w:tc>
        <w:tc>
          <w:tcPr>
            <w:tcW w:w="1985" w:type="dxa"/>
            <w:vMerge/>
          </w:tcPr>
          <w:p w:rsidR="00E96B18" w:rsidRDefault="00E96B18"/>
        </w:tc>
        <w:tc>
          <w:tcPr>
            <w:tcW w:w="775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E96B18" w:rsidRDefault="00E96B18">
            <w:pPr>
              <w:pStyle w:val="ConsPlusNormal"/>
              <w:jc w:val="center"/>
            </w:pPr>
            <w:r>
              <w:t>55,12</w:t>
            </w:r>
          </w:p>
        </w:tc>
        <w:tc>
          <w:tcPr>
            <w:tcW w:w="1531" w:type="dxa"/>
          </w:tcPr>
          <w:p w:rsidR="00E96B18" w:rsidRDefault="00E96B18">
            <w:pPr>
              <w:pStyle w:val="ConsPlusNormal"/>
              <w:jc w:val="center"/>
            </w:pPr>
            <w:r>
              <w:t>56,44</w:t>
            </w:r>
          </w:p>
        </w:tc>
      </w:tr>
      <w:tr w:rsidR="00E96B18">
        <w:tc>
          <w:tcPr>
            <w:tcW w:w="2324" w:type="dxa"/>
            <w:vMerge/>
          </w:tcPr>
          <w:p w:rsidR="00E96B18" w:rsidRDefault="00E96B18"/>
        </w:tc>
        <w:tc>
          <w:tcPr>
            <w:tcW w:w="1985" w:type="dxa"/>
            <w:vMerge/>
          </w:tcPr>
          <w:p w:rsidR="00E96B18" w:rsidRDefault="00E96B18"/>
        </w:tc>
        <w:tc>
          <w:tcPr>
            <w:tcW w:w="775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E96B18" w:rsidRDefault="00E96B18">
            <w:pPr>
              <w:pStyle w:val="ConsPlusNormal"/>
              <w:jc w:val="center"/>
            </w:pPr>
            <w:r>
              <w:t>56,44</w:t>
            </w:r>
          </w:p>
        </w:tc>
        <w:tc>
          <w:tcPr>
            <w:tcW w:w="1531" w:type="dxa"/>
          </w:tcPr>
          <w:p w:rsidR="00E96B18" w:rsidRDefault="00E96B18">
            <w:pPr>
              <w:pStyle w:val="ConsPlusNormal"/>
              <w:jc w:val="center"/>
            </w:pPr>
            <w:r>
              <w:t>57,79</w:t>
            </w:r>
          </w:p>
        </w:tc>
      </w:tr>
    </w:tbl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--------------------------------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Примечание: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01.01.2019 по 30.06.2019 - 82,30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01.07.2019 по 31.12.2019 - 84,27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01.01.2020 по 30.06.2020 - 80,50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01.07.2020 по 31.12.2020 - 82,81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01.01.2021 по 30.06.2021 - 74,70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01.07.2021 по 31.12.2021 - 76,80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01.01.2022 по 30.06.2022 - 76,80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01.07.2022 по 31.12.2022 - 78,58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01.01.2023 по 30.06.2023 - 78,58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01.07.2023 по 31.12.2023 - 80,79 руб./</w:t>
      </w:r>
      <w:proofErr w:type="spellStart"/>
      <w:r>
        <w:t>куб.м</w:t>
      </w:r>
      <w:proofErr w:type="spellEnd"/>
      <w:r>
        <w:t>.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right"/>
        <w:outlineLvl w:val="0"/>
      </w:pPr>
      <w:r>
        <w:t>Приложение 7</w:t>
      </w:r>
    </w:p>
    <w:p w:rsidR="00E96B18" w:rsidRDefault="00E96B18">
      <w:pPr>
        <w:pStyle w:val="ConsPlusNormal"/>
        <w:jc w:val="right"/>
      </w:pPr>
      <w:r>
        <w:t>к приказу Управления по государственному</w:t>
      </w:r>
    </w:p>
    <w:p w:rsidR="00E96B18" w:rsidRDefault="00E96B18">
      <w:pPr>
        <w:pStyle w:val="ConsPlusNormal"/>
        <w:jc w:val="right"/>
      </w:pPr>
      <w:r>
        <w:t>регулированию цен (тарифов)</w:t>
      </w:r>
    </w:p>
    <w:p w:rsidR="00E96B18" w:rsidRDefault="00E96B18">
      <w:pPr>
        <w:pStyle w:val="ConsPlusNormal"/>
        <w:jc w:val="right"/>
      </w:pPr>
      <w:r>
        <w:t>Ненецкого автономного округа</w:t>
      </w:r>
    </w:p>
    <w:p w:rsidR="00E96B18" w:rsidRDefault="00E96B18">
      <w:pPr>
        <w:pStyle w:val="ConsPlusNormal"/>
        <w:jc w:val="right"/>
      </w:pPr>
      <w:r>
        <w:t>от 18.12.2018 N 72</w:t>
      </w:r>
    </w:p>
    <w:p w:rsidR="00E96B18" w:rsidRDefault="00E96B18">
      <w:pPr>
        <w:pStyle w:val="ConsPlusNormal"/>
        <w:jc w:val="right"/>
      </w:pPr>
      <w:r>
        <w:t>"Об установлении долгосрочных параметров</w:t>
      </w:r>
    </w:p>
    <w:p w:rsidR="00E96B18" w:rsidRDefault="00E96B18">
      <w:pPr>
        <w:pStyle w:val="ConsPlusNormal"/>
        <w:jc w:val="right"/>
      </w:pPr>
      <w:r>
        <w:t>регулирования и тарифов в сфере теплоснабжения</w:t>
      </w:r>
    </w:p>
    <w:p w:rsidR="00E96B18" w:rsidRDefault="00E96B18">
      <w:pPr>
        <w:pStyle w:val="ConsPlusNormal"/>
        <w:jc w:val="right"/>
      </w:pPr>
      <w:r>
        <w:t>для государственного унитарного предприятия</w:t>
      </w:r>
    </w:p>
    <w:p w:rsidR="00E96B18" w:rsidRDefault="00E96B18">
      <w:pPr>
        <w:pStyle w:val="ConsPlusNormal"/>
        <w:jc w:val="right"/>
      </w:pPr>
      <w:r>
        <w:lastRenderedPageBreak/>
        <w:t>Ненецкого автономного округа "Ненецкая</w:t>
      </w:r>
    </w:p>
    <w:p w:rsidR="00E96B18" w:rsidRDefault="00E96B18">
      <w:pPr>
        <w:pStyle w:val="ConsPlusNormal"/>
        <w:jc w:val="right"/>
      </w:pPr>
      <w:proofErr w:type="gramStart"/>
      <w:r>
        <w:t>коммунальная</w:t>
      </w:r>
      <w:proofErr w:type="gramEnd"/>
      <w:r>
        <w:t xml:space="preserve"> компания" на долгосрочный период</w:t>
      </w:r>
    </w:p>
    <w:p w:rsidR="00E96B18" w:rsidRDefault="00E96B18">
      <w:pPr>
        <w:pStyle w:val="ConsPlusNormal"/>
        <w:jc w:val="right"/>
      </w:pPr>
      <w:r>
        <w:t>регулирования 2019 - 2023 годов"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Title"/>
        <w:jc w:val="center"/>
      </w:pPr>
      <w:bookmarkStart w:id="8" w:name="P609"/>
      <w:bookmarkEnd w:id="8"/>
      <w:r>
        <w:t>ЛЬГОТНЫЕ ТАРИФЫ</w:t>
      </w:r>
    </w:p>
    <w:p w:rsidR="00E96B18" w:rsidRDefault="00E96B18">
      <w:pPr>
        <w:pStyle w:val="ConsPlusTitle"/>
        <w:jc w:val="center"/>
      </w:pPr>
      <w:r>
        <w:t>НА ТЕПЛОНОСИТЕЛЬ, ПОСТАВЛЯЕМЫЙ НАСЕЛЕНИЮ И ПОТРЕБИТЕЛЯМ,</w:t>
      </w:r>
    </w:p>
    <w:p w:rsidR="00E96B18" w:rsidRDefault="00E96B18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НАСЕЛЕНИЮ, НА ТЕРРИТОРИИ МУНИЦИПАЛЬНОГО</w:t>
      </w:r>
    </w:p>
    <w:p w:rsidR="00E96B18" w:rsidRDefault="00E96B18">
      <w:pPr>
        <w:pStyle w:val="ConsPlusTitle"/>
        <w:jc w:val="center"/>
      </w:pPr>
      <w:r>
        <w:t>ОБРАЗОВАНИЯ "ГОРОДСКОЕ ПОСЕЛЕНИЕ "РАБОЧИЙ ПОСЕЛОК ИСКАТЕЛЕЙ"</w:t>
      </w:r>
    </w:p>
    <w:p w:rsidR="00E96B18" w:rsidRDefault="00E96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361"/>
        <w:gridCol w:w="775"/>
        <w:gridCol w:w="1918"/>
        <w:gridCol w:w="1753"/>
      </w:tblGrid>
      <w:tr w:rsidR="00E96B18">
        <w:tc>
          <w:tcPr>
            <w:tcW w:w="2211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361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75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671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Вид теплоносителя</w:t>
            </w:r>
          </w:p>
        </w:tc>
      </w:tr>
      <w:tr w:rsidR="00E96B18">
        <w:tc>
          <w:tcPr>
            <w:tcW w:w="2211" w:type="dxa"/>
            <w:vMerge/>
          </w:tcPr>
          <w:p w:rsidR="00E96B18" w:rsidRDefault="00E96B18"/>
        </w:tc>
        <w:tc>
          <w:tcPr>
            <w:tcW w:w="1361" w:type="dxa"/>
            <w:vMerge/>
          </w:tcPr>
          <w:p w:rsidR="00E96B18" w:rsidRDefault="00E96B18"/>
        </w:tc>
        <w:tc>
          <w:tcPr>
            <w:tcW w:w="775" w:type="dxa"/>
            <w:vMerge/>
          </w:tcPr>
          <w:p w:rsidR="00E96B18" w:rsidRDefault="00E96B18"/>
        </w:tc>
        <w:tc>
          <w:tcPr>
            <w:tcW w:w="3671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вода</w:t>
            </w:r>
          </w:p>
        </w:tc>
      </w:tr>
      <w:tr w:rsidR="00E96B18">
        <w:tc>
          <w:tcPr>
            <w:tcW w:w="2211" w:type="dxa"/>
            <w:vMerge/>
          </w:tcPr>
          <w:p w:rsidR="00E96B18" w:rsidRDefault="00E96B18"/>
        </w:tc>
        <w:tc>
          <w:tcPr>
            <w:tcW w:w="1361" w:type="dxa"/>
            <w:vMerge/>
          </w:tcPr>
          <w:p w:rsidR="00E96B18" w:rsidRDefault="00E96B18"/>
        </w:tc>
        <w:tc>
          <w:tcPr>
            <w:tcW w:w="775" w:type="dxa"/>
            <w:vMerge/>
          </w:tcPr>
          <w:p w:rsidR="00E96B18" w:rsidRDefault="00E96B18"/>
        </w:tc>
        <w:tc>
          <w:tcPr>
            <w:tcW w:w="1918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753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96B18">
        <w:tc>
          <w:tcPr>
            <w:tcW w:w="2211" w:type="dxa"/>
            <w:vMerge w:val="restart"/>
          </w:tcPr>
          <w:p w:rsidR="00E96B18" w:rsidRDefault="00E96B18">
            <w:pPr>
              <w:pStyle w:val="ConsPlusNormal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5807" w:type="dxa"/>
            <w:gridSpan w:val="4"/>
          </w:tcPr>
          <w:p w:rsidR="00E96B18" w:rsidRDefault="00E96B18">
            <w:pPr>
              <w:pStyle w:val="ConsPlusNormal"/>
            </w:pPr>
            <w:r>
              <w:t>Льготный тариф на теплоноситель, поставляемый населению и потребителям, приравненным к населению (тарифы указываются с учетом НДС) &lt;*&gt;</w:t>
            </w:r>
          </w:p>
        </w:tc>
      </w:tr>
      <w:tr w:rsidR="00E96B18">
        <w:tc>
          <w:tcPr>
            <w:tcW w:w="2211" w:type="dxa"/>
            <w:vMerge/>
          </w:tcPr>
          <w:p w:rsidR="00E96B18" w:rsidRDefault="00E96B18"/>
        </w:tc>
        <w:tc>
          <w:tcPr>
            <w:tcW w:w="1361" w:type="dxa"/>
            <w:vMerge w:val="restart"/>
          </w:tcPr>
          <w:p w:rsidR="00E96B18" w:rsidRDefault="00E96B18">
            <w:pPr>
              <w:pStyle w:val="ConsPlusNormal"/>
            </w:pPr>
          </w:p>
        </w:tc>
        <w:tc>
          <w:tcPr>
            <w:tcW w:w="775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18" w:type="dxa"/>
          </w:tcPr>
          <w:p w:rsidR="00E96B18" w:rsidRDefault="00E96B18">
            <w:pPr>
              <w:pStyle w:val="ConsPlusNormal"/>
              <w:jc w:val="center"/>
            </w:pPr>
            <w:r>
              <w:t>49,32</w:t>
            </w:r>
          </w:p>
        </w:tc>
        <w:tc>
          <w:tcPr>
            <w:tcW w:w="1753" w:type="dxa"/>
          </w:tcPr>
          <w:p w:rsidR="00E96B18" w:rsidRDefault="00E96B18">
            <w:pPr>
              <w:pStyle w:val="ConsPlusNormal"/>
              <w:jc w:val="center"/>
            </w:pPr>
            <w:r>
              <w:t>50,50</w:t>
            </w:r>
          </w:p>
        </w:tc>
      </w:tr>
      <w:tr w:rsidR="00E96B18">
        <w:tc>
          <w:tcPr>
            <w:tcW w:w="2211" w:type="dxa"/>
            <w:vMerge/>
          </w:tcPr>
          <w:p w:rsidR="00E96B18" w:rsidRDefault="00E96B18"/>
        </w:tc>
        <w:tc>
          <w:tcPr>
            <w:tcW w:w="1361" w:type="dxa"/>
            <w:vMerge/>
          </w:tcPr>
          <w:p w:rsidR="00E96B18" w:rsidRDefault="00E96B18"/>
        </w:tc>
        <w:tc>
          <w:tcPr>
            <w:tcW w:w="775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18" w:type="dxa"/>
          </w:tcPr>
          <w:p w:rsidR="00E96B18" w:rsidRDefault="00E96B18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753" w:type="dxa"/>
          </w:tcPr>
          <w:p w:rsidR="00E96B18" w:rsidRDefault="00E96B18">
            <w:pPr>
              <w:pStyle w:val="ConsPlusNormal"/>
              <w:jc w:val="center"/>
            </w:pPr>
            <w:r>
              <w:t>51,71</w:t>
            </w:r>
          </w:p>
        </w:tc>
      </w:tr>
      <w:tr w:rsidR="00E96B18">
        <w:tc>
          <w:tcPr>
            <w:tcW w:w="2211" w:type="dxa"/>
            <w:vMerge/>
          </w:tcPr>
          <w:p w:rsidR="00E96B18" w:rsidRDefault="00E96B18"/>
        </w:tc>
        <w:tc>
          <w:tcPr>
            <w:tcW w:w="1361" w:type="dxa"/>
            <w:vMerge/>
          </w:tcPr>
          <w:p w:rsidR="00E96B18" w:rsidRDefault="00E96B18"/>
        </w:tc>
        <w:tc>
          <w:tcPr>
            <w:tcW w:w="775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18" w:type="dxa"/>
          </w:tcPr>
          <w:p w:rsidR="00E96B18" w:rsidRDefault="00E96B18">
            <w:pPr>
              <w:pStyle w:val="ConsPlusNormal"/>
              <w:jc w:val="center"/>
            </w:pPr>
            <w:r>
              <w:t>51,71</w:t>
            </w:r>
          </w:p>
        </w:tc>
        <w:tc>
          <w:tcPr>
            <w:tcW w:w="1753" w:type="dxa"/>
          </w:tcPr>
          <w:p w:rsidR="00E96B18" w:rsidRDefault="00E96B18">
            <w:pPr>
              <w:pStyle w:val="ConsPlusNormal"/>
              <w:jc w:val="center"/>
            </w:pPr>
            <w:r>
              <w:t>52,95</w:t>
            </w:r>
          </w:p>
        </w:tc>
      </w:tr>
      <w:tr w:rsidR="00E96B18">
        <w:tc>
          <w:tcPr>
            <w:tcW w:w="2211" w:type="dxa"/>
            <w:vMerge/>
          </w:tcPr>
          <w:p w:rsidR="00E96B18" w:rsidRDefault="00E96B18"/>
        </w:tc>
        <w:tc>
          <w:tcPr>
            <w:tcW w:w="1361" w:type="dxa"/>
            <w:vMerge/>
          </w:tcPr>
          <w:p w:rsidR="00E96B18" w:rsidRDefault="00E96B18"/>
        </w:tc>
        <w:tc>
          <w:tcPr>
            <w:tcW w:w="775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18" w:type="dxa"/>
          </w:tcPr>
          <w:p w:rsidR="00E96B18" w:rsidRDefault="00E96B18">
            <w:pPr>
              <w:pStyle w:val="ConsPlusNormal"/>
              <w:jc w:val="center"/>
            </w:pPr>
            <w:r>
              <w:t>52,95</w:t>
            </w:r>
          </w:p>
        </w:tc>
        <w:tc>
          <w:tcPr>
            <w:tcW w:w="1753" w:type="dxa"/>
          </w:tcPr>
          <w:p w:rsidR="00E96B18" w:rsidRDefault="00E96B18">
            <w:pPr>
              <w:pStyle w:val="ConsPlusNormal"/>
              <w:jc w:val="center"/>
            </w:pPr>
            <w:r>
              <w:t>54,22</w:t>
            </w:r>
          </w:p>
        </w:tc>
      </w:tr>
    </w:tbl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--------------------------------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&lt;*&gt; Выделяется в целях реализации пункта 6 статьи 168 Налогового кодекса Российской Федерации (часть вторая).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Примечание: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1. Экономически обоснованный тариф составляет: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01.01.2020 по 30.06.2020 - 41,10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01.07.2020 по 31.12.2020 - 47,60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01.01.2021 по 30.06.2021 - 45,40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01.07.2021 по 31.12.2021 - 46,66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01.01.2022 по 30.06.2022 - 46,66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01.07.2022 по 31.12.2022 - 51,13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01.01.2023 по 30.06.2023 - 46,50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01.07.2023 по 31.12.2023 - 47,79 руб./</w:t>
      </w:r>
      <w:proofErr w:type="spellStart"/>
      <w:r>
        <w:t>куб.м</w:t>
      </w:r>
      <w:proofErr w:type="spellEnd"/>
      <w:r>
        <w:t>.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 xml:space="preserve"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</w:t>
      </w:r>
      <w:r>
        <w:lastRenderedPageBreak/>
        <w:t>автономного округа".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right"/>
        <w:outlineLvl w:val="0"/>
      </w:pPr>
      <w:r>
        <w:t>Приложение 8</w:t>
      </w:r>
    </w:p>
    <w:p w:rsidR="00E96B18" w:rsidRDefault="00E96B18">
      <w:pPr>
        <w:pStyle w:val="ConsPlusNormal"/>
        <w:jc w:val="right"/>
      </w:pPr>
      <w:r>
        <w:t>к приказу Управления по государственному</w:t>
      </w:r>
    </w:p>
    <w:p w:rsidR="00E96B18" w:rsidRDefault="00E96B18">
      <w:pPr>
        <w:pStyle w:val="ConsPlusNormal"/>
        <w:jc w:val="right"/>
      </w:pPr>
      <w:r>
        <w:t>регулированию цен (тарифов)</w:t>
      </w:r>
    </w:p>
    <w:p w:rsidR="00E96B18" w:rsidRDefault="00E96B18">
      <w:pPr>
        <w:pStyle w:val="ConsPlusNormal"/>
        <w:jc w:val="right"/>
      </w:pPr>
      <w:r>
        <w:t>Ненецкого автономного округа</w:t>
      </w:r>
    </w:p>
    <w:p w:rsidR="00E96B18" w:rsidRDefault="00E96B18">
      <w:pPr>
        <w:pStyle w:val="ConsPlusNormal"/>
        <w:jc w:val="right"/>
      </w:pPr>
      <w:r>
        <w:t>от 18.12.2018 N 72</w:t>
      </w:r>
    </w:p>
    <w:p w:rsidR="00E96B18" w:rsidRDefault="00E96B18">
      <w:pPr>
        <w:pStyle w:val="ConsPlusNormal"/>
        <w:jc w:val="right"/>
      </w:pPr>
      <w:r>
        <w:t>"Об установлении долгосрочных параметров</w:t>
      </w:r>
    </w:p>
    <w:p w:rsidR="00E96B18" w:rsidRDefault="00E96B18">
      <w:pPr>
        <w:pStyle w:val="ConsPlusNormal"/>
        <w:jc w:val="right"/>
      </w:pPr>
      <w:r>
        <w:t>регулирования и тарифов в сфере теплоснабжения</w:t>
      </w:r>
    </w:p>
    <w:p w:rsidR="00E96B18" w:rsidRDefault="00E96B18">
      <w:pPr>
        <w:pStyle w:val="ConsPlusNormal"/>
        <w:jc w:val="right"/>
      </w:pPr>
      <w:r>
        <w:t>для государственного унитарного предприятия</w:t>
      </w:r>
    </w:p>
    <w:p w:rsidR="00E96B18" w:rsidRDefault="00E96B18">
      <w:pPr>
        <w:pStyle w:val="ConsPlusNormal"/>
        <w:jc w:val="right"/>
      </w:pPr>
      <w:r>
        <w:t>Ненецкого автономного округа "Ненецкая</w:t>
      </w:r>
    </w:p>
    <w:p w:rsidR="00E96B18" w:rsidRDefault="00E96B18">
      <w:pPr>
        <w:pStyle w:val="ConsPlusNormal"/>
        <w:jc w:val="right"/>
      </w:pPr>
      <w:proofErr w:type="gramStart"/>
      <w:r>
        <w:t>коммунальная</w:t>
      </w:r>
      <w:proofErr w:type="gramEnd"/>
      <w:r>
        <w:t xml:space="preserve"> компания" на долгосрочный период</w:t>
      </w:r>
    </w:p>
    <w:p w:rsidR="00E96B18" w:rsidRDefault="00E96B18">
      <w:pPr>
        <w:pStyle w:val="ConsPlusNormal"/>
        <w:jc w:val="right"/>
      </w:pPr>
      <w:r>
        <w:t>регулирования 2019 - 2023 годов"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Title"/>
        <w:jc w:val="center"/>
      </w:pPr>
      <w:bookmarkStart w:id="9" w:name="P668"/>
      <w:bookmarkEnd w:id="9"/>
      <w:r>
        <w:t>ТАРИФЫ</w:t>
      </w:r>
    </w:p>
    <w:p w:rsidR="00E96B18" w:rsidRDefault="00E96B18">
      <w:pPr>
        <w:pStyle w:val="ConsPlusTitle"/>
        <w:jc w:val="center"/>
      </w:pPr>
      <w:r>
        <w:t>НА ГОРЯЧУЮ ВОДУ В ОТКРЫТЫХ СИСТЕМАХ</w:t>
      </w:r>
    </w:p>
    <w:p w:rsidR="00E96B18" w:rsidRDefault="00E96B18">
      <w:pPr>
        <w:pStyle w:val="ConsPlusTitle"/>
        <w:jc w:val="center"/>
      </w:pPr>
      <w:r>
        <w:t>ТЕПЛОСНАБЖЕНИЯ (ГОРЯЧЕЕ ВОДОСНАБЖЕНИЕ)</w:t>
      </w:r>
    </w:p>
    <w:p w:rsidR="00E96B18" w:rsidRDefault="00E96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211"/>
        <w:gridCol w:w="880"/>
        <w:gridCol w:w="1134"/>
        <w:gridCol w:w="1275"/>
        <w:gridCol w:w="1191"/>
        <w:gridCol w:w="1275"/>
      </w:tblGrid>
      <w:tr w:rsidR="00E96B18">
        <w:tc>
          <w:tcPr>
            <w:tcW w:w="565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880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409" w:type="dxa"/>
            <w:gridSpan w:val="2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Компонент на теплоноситель &lt;*&gt;, руб./куб. м.</w:t>
            </w:r>
          </w:p>
        </w:tc>
        <w:tc>
          <w:tcPr>
            <w:tcW w:w="2466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2211" w:type="dxa"/>
            <w:vMerge/>
          </w:tcPr>
          <w:p w:rsidR="00E96B18" w:rsidRDefault="00E96B18"/>
        </w:tc>
        <w:tc>
          <w:tcPr>
            <w:tcW w:w="880" w:type="dxa"/>
            <w:vMerge/>
          </w:tcPr>
          <w:p w:rsidR="00E96B18" w:rsidRDefault="00E96B18"/>
        </w:tc>
        <w:tc>
          <w:tcPr>
            <w:tcW w:w="2409" w:type="dxa"/>
            <w:gridSpan w:val="2"/>
            <w:vMerge/>
          </w:tcPr>
          <w:p w:rsidR="00E96B18" w:rsidRDefault="00E96B18"/>
        </w:tc>
        <w:tc>
          <w:tcPr>
            <w:tcW w:w="2466" w:type="dxa"/>
            <w:gridSpan w:val="2"/>
          </w:tcPr>
          <w:p w:rsidR="00E96B18" w:rsidRDefault="00E96B18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2211" w:type="dxa"/>
            <w:vMerge/>
          </w:tcPr>
          <w:p w:rsidR="00E96B18" w:rsidRDefault="00E96B18"/>
        </w:tc>
        <w:tc>
          <w:tcPr>
            <w:tcW w:w="880" w:type="dxa"/>
            <w:vMerge/>
          </w:tcPr>
          <w:p w:rsidR="00E96B18" w:rsidRDefault="00E96B18"/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96B18">
        <w:tc>
          <w:tcPr>
            <w:tcW w:w="565" w:type="dxa"/>
          </w:tcPr>
          <w:p w:rsidR="00E96B18" w:rsidRDefault="00E96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E96B18" w:rsidRDefault="00E96B18">
            <w:pPr>
              <w:pStyle w:val="ConsPlusNormal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5755" w:type="dxa"/>
            <w:gridSpan w:val="5"/>
          </w:tcPr>
          <w:p w:rsidR="00E96B18" w:rsidRDefault="00E96B18">
            <w:pPr>
              <w:pStyle w:val="ConsPlusNormal"/>
            </w:pPr>
            <w:r>
              <w:t>Прочие потребители</w:t>
            </w:r>
          </w:p>
        </w:tc>
      </w:tr>
      <w:tr w:rsidR="00E96B18">
        <w:tc>
          <w:tcPr>
            <w:tcW w:w="565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vMerge w:val="restart"/>
          </w:tcPr>
          <w:p w:rsidR="00E96B18" w:rsidRDefault="00E96B18">
            <w:pPr>
              <w:pStyle w:val="ConsPlusNormal"/>
            </w:pPr>
            <w:r>
              <w:t>На территории МО "Городской округ "Город Нарьян-Мар"</w:t>
            </w:r>
          </w:p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84,27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2360,00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2 438,11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221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82,81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2 360,00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2 401,50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221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76,80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2 401,50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2 409,12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221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76,80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78,58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2 340,00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2 367,57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221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78,58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80,79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2367,57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2 482,30</w:t>
            </w:r>
          </w:p>
        </w:tc>
      </w:tr>
      <w:tr w:rsidR="00E96B18">
        <w:tc>
          <w:tcPr>
            <w:tcW w:w="565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  <w:vMerge w:val="restart"/>
          </w:tcPr>
          <w:p w:rsidR="00E96B18" w:rsidRDefault="00E96B18">
            <w:pPr>
              <w:pStyle w:val="ConsPlusNormal"/>
            </w:pPr>
            <w:r>
              <w:t xml:space="preserve">На территории МО "Городское </w:t>
            </w:r>
            <w:r>
              <w:lastRenderedPageBreak/>
              <w:t>поселение "Рабочий поселок Искателей"</w:t>
            </w:r>
          </w:p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2 011,68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2 055,71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221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2 055,71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2 206,77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221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45,40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46,66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2 206,77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2 366,62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221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46,66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51,13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2 345,00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2 362,53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221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47,79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2 362,53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2 393,85</w:t>
            </w:r>
          </w:p>
        </w:tc>
      </w:tr>
      <w:tr w:rsidR="00E96B18">
        <w:tc>
          <w:tcPr>
            <w:tcW w:w="565" w:type="dxa"/>
          </w:tcPr>
          <w:p w:rsidR="00E96B18" w:rsidRDefault="00E96B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96B18" w:rsidRDefault="00E96B18">
            <w:pPr>
              <w:pStyle w:val="ConsPlusNormal"/>
              <w:jc w:val="both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5755" w:type="dxa"/>
            <w:gridSpan w:val="5"/>
          </w:tcPr>
          <w:p w:rsidR="00E96B18" w:rsidRDefault="00E96B18">
            <w:pPr>
              <w:pStyle w:val="ConsPlusNormal"/>
            </w:pPr>
            <w:r>
              <w:t>Население и потребители, приравненные к населению (тарифы указываются с учетом НДС) &lt;**&gt;</w:t>
            </w:r>
          </w:p>
        </w:tc>
      </w:tr>
      <w:tr w:rsidR="00E96B18">
        <w:tc>
          <w:tcPr>
            <w:tcW w:w="565" w:type="dxa"/>
          </w:tcPr>
          <w:p w:rsidR="00E96B18" w:rsidRDefault="00E96B1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</w:tcPr>
          <w:p w:rsidR="00E96B18" w:rsidRDefault="00E96B18">
            <w:pPr>
              <w:pStyle w:val="ConsPlusNormal"/>
              <w:jc w:val="both"/>
            </w:pPr>
            <w:r>
              <w:t>На территории МО "Городское поселение "Рабочий поселок Искателей"</w:t>
            </w:r>
          </w:p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E96B18" w:rsidRDefault="00E96B18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49,32</w:t>
            </w:r>
          </w:p>
        </w:tc>
        <w:tc>
          <w:tcPr>
            <w:tcW w:w="1191" w:type="dxa"/>
          </w:tcPr>
          <w:p w:rsidR="00E96B18" w:rsidRDefault="00E96B18">
            <w:pPr>
              <w:pStyle w:val="ConsPlusNormal"/>
              <w:jc w:val="center"/>
            </w:pPr>
            <w:r>
              <w:t>2 414,02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2 466,85</w:t>
            </w:r>
          </w:p>
        </w:tc>
      </w:tr>
    </w:tbl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--------------------------------</w:t>
      </w:r>
    </w:p>
    <w:p w:rsidR="00E96B18" w:rsidRDefault="00E96B18">
      <w:pPr>
        <w:pStyle w:val="ConsPlusNormal"/>
        <w:spacing w:before="220"/>
        <w:ind w:firstLine="540"/>
        <w:jc w:val="both"/>
      </w:pPr>
      <w:bookmarkStart w:id="10" w:name="P751"/>
      <w:bookmarkEnd w:id="10"/>
      <w:r>
        <w:t>&lt;*&gt; Тариф на теплоноситель установлен в Приложении 6 к настоящему приказу.</w:t>
      </w:r>
    </w:p>
    <w:p w:rsidR="00E96B18" w:rsidRDefault="00E96B18">
      <w:pPr>
        <w:pStyle w:val="ConsPlusNormal"/>
        <w:spacing w:before="220"/>
        <w:ind w:firstLine="540"/>
        <w:jc w:val="both"/>
      </w:pPr>
      <w:bookmarkStart w:id="11" w:name="P752"/>
      <w:bookmarkEnd w:id="11"/>
      <w:r>
        <w:t>&lt;**&gt; Выделяется в целях реализации пункта 6 статьи 168 Налогового кодекса Российской Федерации (часть вторая).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right"/>
        <w:outlineLvl w:val="0"/>
      </w:pPr>
      <w:r>
        <w:t>Приложение 9</w:t>
      </w:r>
    </w:p>
    <w:p w:rsidR="00E96B18" w:rsidRDefault="00E96B18">
      <w:pPr>
        <w:pStyle w:val="ConsPlusNormal"/>
        <w:jc w:val="right"/>
      </w:pPr>
      <w:r>
        <w:t>к приказу Управления по государственному</w:t>
      </w:r>
    </w:p>
    <w:p w:rsidR="00E96B18" w:rsidRDefault="00E96B18">
      <w:pPr>
        <w:pStyle w:val="ConsPlusNormal"/>
        <w:jc w:val="right"/>
      </w:pPr>
      <w:r>
        <w:t>регулированию цен (тарифов)</w:t>
      </w:r>
    </w:p>
    <w:p w:rsidR="00E96B18" w:rsidRDefault="00E96B18">
      <w:pPr>
        <w:pStyle w:val="ConsPlusNormal"/>
        <w:jc w:val="right"/>
      </w:pPr>
      <w:r>
        <w:t>Ненецкого автономного округа</w:t>
      </w:r>
    </w:p>
    <w:p w:rsidR="00E96B18" w:rsidRDefault="00E96B18">
      <w:pPr>
        <w:pStyle w:val="ConsPlusNormal"/>
        <w:jc w:val="right"/>
      </w:pPr>
      <w:r>
        <w:t>от 18.12.2018 N 72</w:t>
      </w:r>
    </w:p>
    <w:p w:rsidR="00E96B18" w:rsidRDefault="00E96B18">
      <w:pPr>
        <w:pStyle w:val="ConsPlusNormal"/>
        <w:jc w:val="right"/>
      </w:pPr>
      <w:r>
        <w:t>"Об установлении долгосрочных параметров</w:t>
      </w:r>
    </w:p>
    <w:p w:rsidR="00E96B18" w:rsidRDefault="00E96B18">
      <w:pPr>
        <w:pStyle w:val="ConsPlusNormal"/>
        <w:jc w:val="right"/>
      </w:pPr>
      <w:r>
        <w:t>регулирования и тарифов в сфере теплоснабжения</w:t>
      </w:r>
    </w:p>
    <w:p w:rsidR="00E96B18" w:rsidRDefault="00E96B18">
      <w:pPr>
        <w:pStyle w:val="ConsPlusNormal"/>
        <w:jc w:val="right"/>
      </w:pPr>
      <w:r>
        <w:t>для государственного унитарного предприятия</w:t>
      </w:r>
    </w:p>
    <w:p w:rsidR="00E96B18" w:rsidRDefault="00E96B18">
      <w:pPr>
        <w:pStyle w:val="ConsPlusNormal"/>
        <w:jc w:val="right"/>
      </w:pPr>
      <w:r>
        <w:t>Ненецкого автономного округа "Ненецкая</w:t>
      </w:r>
    </w:p>
    <w:p w:rsidR="00E96B18" w:rsidRDefault="00E96B18">
      <w:pPr>
        <w:pStyle w:val="ConsPlusNormal"/>
        <w:jc w:val="right"/>
      </w:pPr>
      <w:proofErr w:type="gramStart"/>
      <w:r>
        <w:t>коммунальная</w:t>
      </w:r>
      <w:proofErr w:type="gramEnd"/>
      <w:r>
        <w:t xml:space="preserve"> компания" на долгосрочный период</w:t>
      </w:r>
    </w:p>
    <w:p w:rsidR="00E96B18" w:rsidRDefault="00E96B18">
      <w:pPr>
        <w:pStyle w:val="ConsPlusNormal"/>
        <w:jc w:val="right"/>
      </w:pPr>
      <w:r>
        <w:t>регулирования 2019 - 2023 годов"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Title"/>
        <w:jc w:val="center"/>
      </w:pPr>
      <w:bookmarkStart w:id="12" w:name="P770"/>
      <w:bookmarkEnd w:id="12"/>
      <w:r>
        <w:t>ЛЬГОТНЫЕ ТАРИФЫ</w:t>
      </w:r>
    </w:p>
    <w:p w:rsidR="00E96B18" w:rsidRDefault="00E96B18">
      <w:pPr>
        <w:pStyle w:val="ConsPlusTitle"/>
        <w:jc w:val="center"/>
      </w:pPr>
      <w:proofErr w:type="gramStart"/>
      <w:r>
        <w:t>НА ГОРЯЧУЮ ВОДУ В ОТКРЫТЫХ СИСТЕМАХ ТЕПЛОСНАБЖЕНИЯ (ГОРЯЧЕЕ</w:t>
      </w:r>
      <w:proofErr w:type="gramEnd"/>
    </w:p>
    <w:p w:rsidR="00E96B18" w:rsidRDefault="00E96B18">
      <w:pPr>
        <w:pStyle w:val="ConsPlusTitle"/>
        <w:jc w:val="center"/>
      </w:pPr>
      <w:proofErr w:type="gramStart"/>
      <w:r>
        <w:t>ВОДОСНАБЖЕНИЕ), ПОСТАВЛЯЕМУЮ НАСЕЛЕНИЮ И ПОТРЕБИТЕЛЯМ,</w:t>
      </w:r>
      <w:proofErr w:type="gramEnd"/>
    </w:p>
    <w:p w:rsidR="00E96B18" w:rsidRDefault="00E96B18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НАСЕЛЕНИЮ, НА ТЕРРИТОРИИ МУНИЦИПАЛЬНОГО</w:t>
      </w:r>
    </w:p>
    <w:p w:rsidR="00E96B18" w:rsidRDefault="00E96B18">
      <w:pPr>
        <w:pStyle w:val="ConsPlusTitle"/>
        <w:jc w:val="center"/>
      </w:pPr>
      <w:r>
        <w:t>ОБРАЗОВАНИЯ "ГОРОДСКОЙ ОКРУГ "ГОРОД НАРЬЯН-МАР"</w:t>
      </w:r>
    </w:p>
    <w:p w:rsidR="00E96B18" w:rsidRDefault="00E96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871"/>
        <w:gridCol w:w="880"/>
        <w:gridCol w:w="1388"/>
        <w:gridCol w:w="1275"/>
        <w:gridCol w:w="1418"/>
        <w:gridCol w:w="1275"/>
      </w:tblGrid>
      <w:tr w:rsidR="00E96B18">
        <w:tc>
          <w:tcPr>
            <w:tcW w:w="565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880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663" w:type="dxa"/>
            <w:gridSpan w:val="2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Компонент на теплоноситель &lt;*&gt;, руб./куб. м.</w:t>
            </w:r>
          </w:p>
        </w:tc>
        <w:tc>
          <w:tcPr>
            <w:tcW w:w="2693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80" w:type="dxa"/>
            <w:vMerge/>
          </w:tcPr>
          <w:p w:rsidR="00E96B18" w:rsidRDefault="00E96B18"/>
        </w:tc>
        <w:tc>
          <w:tcPr>
            <w:tcW w:w="2663" w:type="dxa"/>
            <w:gridSpan w:val="2"/>
            <w:vMerge/>
          </w:tcPr>
          <w:p w:rsidR="00E96B18" w:rsidRDefault="00E96B18"/>
        </w:tc>
        <w:tc>
          <w:tcPr>
            <w:tcW w:w="2693" w:type="dxa"/>
            <w:gridSpan w:val="2"/>
          </w:tcPr>
          <w:p w:rsidR="00E96B18" w:rsidRDefault="00E96B18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80" w:type="dxa"/>
            <w:vMerge/>
          </w:tcPr>
          <w:p w:rsidR="00E96B18" w:rsidRDefault="00E96B18"/>
        </w:tc>
        <w:tc>
          <w:tcPr>
            <w:tcW w:w="1388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418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96B18">
        <w:tc>
          <w:tcPr>
            <w:tcW w:w="565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</w:tcPr>
          <w:p w:rsidR="00E96B18" w:rsidRDefault="00E96B18">
            <w:pPr>
              <w:pStyle w:val="ConsPlusNormal"/>
            </w:pPr>
            <w:proofErr w:type="gramStart"/>
            <w:r>
              <w:t>Государственное унитарное предприятие Ненецкого автономного округа "Ненецкая коммунальная компания"</w:t>
            </w:r>
            <w:proofErr w:type="gramEnd"/>
          </w:p>
        </w:tc>
        <w:tc>
          <w:tcPr>
            <w:tcW w:w="6236" w:type="dxa"/>
            <w:gridSpan w:val="5"/>
          </w:tcPr>
          <w:p w:rsidR="00E96B18" w:rsidRDefault="00E96B18">
            <w:pPr>
              <w:pStyle w:val="ConsPlusNormal"/>
              <w:jc w:val="center"/>
            </w:pPr>
            <w:r>
              <w:t>Население и потребители, приравненные к населению (тарифы указываются с учетом НДС) &lt;**&gt;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8" w:type="dxa"/>
          </w:tcPr>
          <w:p w:rsidR="00E96B18" w:rsidRDefault="00E96B18">
            <w:pPr>
              <w:pStyle w:val="ConsPlusNormal"/>
              <w:jc w:val="center"/>
            </w:pPr>
            <w:r>
              <w:t>51,32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52,56</w:t>
            </w:r>
          </w:p>
        </w:tc>
        <w:tc>
          <w:tcPr>
            <w:tcW w:w="1418" w:type="dxa"/>
          </w:tcPr>
          <w:p w:rsidR="00E96B18" w:rsidRDefault="00E96B18">
            <w:pPr>
              <w:pStyle w:val="ConsPlusNormal"/>
              <w:jc w:val="center"/>
            </w:pPr>
            <w:r>
              <w:t>1 743,56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1 785,40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8" w:type="dxa"/>
          </w:tcPr>
          <w:p w:rsidR="00E96B18" w:rsidRDefault="00E96B18">
            <w:pPr>
              <w:pStyle w:val="ConsPlusNormal"/>
              <w:jc w:val="center"/>
            </w:pPr>
            <w:r>
              <w:t>52,56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53,82</w:t>
            </w:r>
          </w:p>
        </w:tc>
        <w:tc>
          <w:tcPr>
            <w:tcW w:w="1418" w:type="dxa"/>
          </w:tcPr>
          <w:p w:rsidR="00E96B18" w:rsidRDefault="00E96B18">
            <w:pPr>
              <w:pStyle w:val="ConsPlusNormal"/>
              <w:jc w:val="center"/>
            </w:pPr>
            <w:r>
              <w:t>1 785,40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1 828,25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8" w:type="dxa"/>
          </w:tcPr>
          <w:p w:rsidR="00E96B18" w:rsidRDefault="00E96B18">
            <w:pPr>
              <w:pStyle w:val="ConsPlusNormal"/>
              <w:jc w:val="center"/>
            </w:pPr>
            <w:r>
              <w:t>53,82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55,12</w:t>
            </w:r>
          </w:p>
        </w:tc>
        <w:tc>
          <w:tcPr>
            <w:tcW w:w="1418" w:type="dxa"/>
          </w:tcPr>
          <w:p w:rsidR="00E96B18" w:rsidRDefault="00E96B18">
            <w:pPr>
              <w:pStyle w:val="ConsPlusNormal"/>
              <w:jc w:val="center"/>
            </w:pPr>
            <w:r>
              <w:t>1 828,25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1 872,13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8" w:type="dxa"/>
          </w:tcPr>
          <w:p w:rsidR="00E96B18" w:rsidRDefault="00E96B18">
            <w:pPr>
              <w:pStyle w:val="ConsPlusNormal"/>
              <w:jc w:val="center"/>
            </w:pPr>
            <w:r>
              <w:t>55,12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56,44</w:t>
            </w:r>
          </w:p>
        </w:tc>
        <w:tc>
          <w:tcPr>
            <w:tcW w:w="1418" w:type="dxa"/>
          </w:tcPr>
          <w:p w:rsidR="00E96B18" w:rsidRDefault="00E96B18">
            <w:pPr>
              <w:pStyle w:val="ConsPlusNormal"/>
              <w:jc w:val="center"/>
            </w:pPr>
            <w:r>
              <w:t>1 872,13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1 917,06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71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8" w:type="dxa"/>
          </w:tcPr>
          <w:p w:rsidR="00E96B18" w:rsidRDefault="00E96B18">
            <w:pPr>
              <w:pStyle w:val="ConsPlusNormal"/>
              <w:jc w:val="center"/>
            </w:pPr>
            <w:r>
              <w:t>56,44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57,79</w:t>
            </w:r>
          </w:p>
        </w:tc>
        <w:tc>
          <w:tcPr>
            <w:tcW w:w="1418" w:type="dxa"/>
          </w:tcPr>
          <w:p w:rsidR="00E96B18" w:rsidRDefault="00E96B18">
            <w:pPr>
              <w:pStyle w:val="ConsPlusNormal"/>
              <w:jc w:val="center"/>
            </w:pPr>
            <w:r>
              <w:t>1 917,06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1 963,07</w:t>
            </w:r>
          </w:p>
        </w:tc>
      </w:tr>
    </w:tbl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--------------------------------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&lt;*&gt; Льготный тариф на теплоноситель установлен в Приложении 6 к настоящему приказу.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&lt;**&gt; Выделяется в целях реализации пункта 6 статьи 168 Налогового кодекса Российской Федерации (часть вторая).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Примечание: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1. Экономически обоснованный тариф на теплоноситель составляет: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01.01.2019 по 30.06.2019 - 82,30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01.07.2019 по 31.12.2019 - 84,27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01.01.2020 по 30.06.2020 - 80,50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01.07.2020 по 31.12.2020 - 82,81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01.01.2021 по 30.06.2021 - 74,70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01.07.2021 по 31.12.2021 - 76,80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01.01.2022 по 30.06.2022 - 76,80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01.07.2022 по 31.12.2022 - 78,58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01.01.2023 по 30.06.2023 - 78,58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01.07.2023 по 31.12.2023 - 80,79 руб./</w:t>
      </w:r>
      <w:proofErr w:type="spellStart"/>
      <w:r>
        <w:t>куб.м</w:t>
      </w:r>
      <w:proofErr w:type="spellEnd"/>
      <w:r>
        <w:t>.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2. Экономически обоснованный тариф на тепловую энергию составляет: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01.01.2019 по 30.06.2019 - 2 360,00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01.07.2019 по 31.12.2019 - 2 438,11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01.01.2020 по 30.06.2020 - 2 360,00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01.07.2020 по 31.12.2020 - 2 401,50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01.01.2021 по 30.06.2021 - 2 401,50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lastRenderedPageBreak/>
        <w:t>на период с 01.07.2021 по 31.12.2021 - 2 409,12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01.01.2022 по 30.06.2022 - 2 340,00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01.07.2022 по 31.12.2022 - 2 367,57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01.01.2023 по 30.06.2023 - 2 367,57 руб./Гкал;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01.07.2023 по 31.12.2023 - 2 482,30 руб./Гкал.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3.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right"/>
        <w:outlineLvl w:val="0"/>
      </w:pPr>
      <w:r>
        <w:t>Приложение 10</w:t>
      </w:r>
    </w:p>
    <w:p w:rsidR="00E96B18" w:rsidRDefault="00E96B18">
      <w:pPr>
        <w:pStyle w:val="ConsPlusNormal"/>
        <w:jc w:val="right"/>
      </w:pPr>
      <w:r>
        <w:t>к приказу Управления по государственному</w:t>
      </w:r>
    </w:p>
    <w:p w:rsidR="00E96B18" w:rsidRDefault="00E96B18">
      <w:pPr>
        <w:pStyle w:val="ConsPlusNormal"/>
        <w:jc w:val="right"/>
      </w:pPr>
      <w:r>
        <w:t>регулированию цен (тарифов)</w:t>
      </w:r>
    </w:p>
    <w:p w:rsidR="00E96B18" w:rsidRDefault="00E96B18">
      <w:pPr>
        <w:pStyle w:val="ConsPlusNormal"/>
        <w:jc w:val="right"/>
      </w:pPr>
      <w:r>
        <w:t>Ненецкого автономного округа</w:t>
      </w:r>
    </w:p>
    <w:p w:rsidR="00E96B18" w:rsidRDefault="00E96B18">
      <w:pPr>
        <w:pStyle w:val="ConsPlusNormal"/>
        <w:jc w:val="right"/>
      </w:pPr>
      <w:r>
        <w:t>от 18.12.2018 N 72</w:t>
      </w:r>
    </w:p>
    <w:p w:rsidR="00E96B18" w:rsidRDefault="00E96B18">
      <w:pPr>
        <w:pStyle w:val="ConsPlusNormal"/>
        <w:jc w:val="right"/>
      </w:pPr>
      <w:r>
        <w:t>"Об установлении долгосрочных параметров</w:t>
      </w:r>
    </w:p>
    <w:p w:rsidR="00E96B18" w:rsidRDefault="00E96B18">
      <w:pPr>
        <w:pStyle w:val="ConsPlusNormal"/>
        <w:jc w:val="right"/>
      </w:pPr>
      <w:r>
        <w:t>регулирования и тарифов в сфере теплоснабжения</w:t>
      </w:r>
    </w:p>
    <w:p w:rsidR="00E96B18" w:rsidRDefault="00E96B18">
      <w:pPr>
        <w:pStyle w:val="ConsPlusNormal"/>
        <w:jc w:val="right"/>
      </w:pPr>
      <w:r>
        <w:t>для государственного унитарного предприятия</w:t>
      </w:r>
    </w:p>
    <w:p w:rsidR="00E96B18" w:rsidRDefault="00E96B18">
      <w:pPr>
        <w:pStyle w:val="ConsPlusNormal"/>
        <w:jc w:val="right"/>
      </w:pPr>
      <w:r>
        <w:t>Ненецкого автономного округа "Ненецкая</w:t>
      </w:r>
    </w:p>
    <w:p w:rsidR="00E96B18" w:rsidRDefault="00E96B18">
      <w:pPr>
        <w:pStyle w:val="ConsPlusNormal"/>
        <w:jc w:val="right"/>
      </w:pPr>
      <w:proofErr w:type="gramStart"/>
      <w:r>
        <w:t>коммунальная</w:t>
      </w:r>
      <w:proofErr w:type="gramEnd"/>
      <w:r>
        <w:t xml:space="preserve"> компания" на долгосрочный период</w:t>
      </w:r>
    </w:p>
    <w:p w:rsidR="00E96B18" w:rsidRDefault="00E96B18">
      <w:pPr>
        <w:pStyle w:val="ConsPlusNormal"/>
        <w:jc w:val="right"/>
      </w:pPr>
      <w:r>
        <w:t>регулирования 2019 - 2023 годов"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Title"/>
        <w:jc w:val="center"/>
      </w:pPr>
      <w:bookmarkStart w:id="13" w:name="P860"/>
      <w:bookmarkEnd w:id="13"/>
      <w:r>
        <w:t>ЛЬГОТНЫЕ ТАРИФЫ</w:t>
      </w:r>
    </w:p>
    <w:p w:rsidR="00E96B18" w:rsidRDefault="00E96B18">
      <w:pPr>
        <w:pStyle w:val="ConsPlusTitle"/>
        <w:jc w:val="center"/>
      </w:pPr>
      <w:proofErr w:type="gramStart"/>
      <w:r>
        <w:t>НА ГОРЯЧУЮ ВОДУ В ОТКРЫТЫХ СИСТЕМАХ ТЕПЛОСНАБЖЕНИЯ (ГОРЯЧЕЕ</w:t>
      </w:r>
      <w:proofErr w:type="gramEnd"/>
    </w:p>
    <w:p w:rsidR="00E96B18" w:rsidRDefault="00E96B18">
      <w:pPr>
        <w:pStyle w:val="ConsPlusTitle"/>
        <w:jc w:val="center"/>
      </w:pPr>
      <w:proofErr w:type="gramStart"/>
      <w:r>
        <w:t>ВОДОСНАБЖЕНИЕ), ПОСТАВЛЯЕМУЮ НАСЕЛЕНИЮ И ПОТРЕБИТЕЛЯМ,</w:t>
      </w:r>
      <w:proofErr w:type="gramEnd"/>
    </w:p>
    <w:p w:rsidR="00E96B18" w:rsidRDefault="00E96B18">
      <w:pPr>
        <w:pStyle w:val="ConsPlusTitle"/>
        <w:jc w:val="center"/>
      </w:pPr>
      <w:proofErr w:type="gramStart"/>
      <w:r>
        <w:t>ПРИРАВНЕННЫМ</w:t>
      </w:r>
      <w:proofErr w:type="gramEnd"/>
      <w:r>
        <w:t xml:space="preserve"> К НАСЕЛЕНИЮ, НА ТЕРРИТОРИИ МУНИЦИПАЛЬНОГО</w:t>
      </w:r>
    </w:p>
    <w:p w:rsidR="00E96B18" w:rsidRDefault="00E96B18">
      <w:pPr>
        <w:pStyle w:val="ConsPlusTitle"/>
        <w:jc w:val="center"/>
      </w:pPr>
      <w:r>
        <w:t>ОБРАЗОВАНИЯ "ГОРОДСКОЕ ПОСЕЛЕНИЕ "РАБОЧИЙ ПОСЕЛОК ИСКАТЕЛЕЙ"</w:t>
      </w:r>
    </w:p>
    <w:p w:rsidR="00E96B18" w:rsidRDefault="00E96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814"/>
        <w:gridCol w:w="880"/>
        <w:gridCol w:w="1304"/>
        <w:gridCol w:w="1275"/>
        <w:gridCol w:w="1304"/>
        <w:gridCol w:w="1275"/>
      </w:tblGrid>
      <w:tr w:rsidR="00E96B18">
        <w:tc>
          <w:tcPr>
            <w:tcW w:w="565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880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79" w:type="dxa"/>
            <w:gridSpan w:val="2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Компонент на теплоноситель &lt;*&gt;, руб./куб. м.</w:t>
            </w:r>
          </w:p>
        </w:tc>
        <w:tc>
          <w:tcPr>
            <w:tcW w:w="2579" w:type="dxa"/>
            <w:gridSpan w:val="2"/>
          </w:tcPr>
          <w:p w:rsidR="00E96B18" w:rsidRDefault="00E96B18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14" w:type="dxa"/>
            <w:vMerge/>
          </w:tcPr>
          <w:p w:rsidR="00E96B18" w:rsidRDefault="00E96B18"/>
        </w:tc>
        <w:tc>
          <w:tcPr>
            <w:tcW w:w="880" w:type="dxa"/>
            <w:vMerge/>
          </w:tcPr>
          <w:p w:rsidR="00E96B18" w:rsidRDefault="00E96B18"/>
        </w:tc>
        <w:tc>
          <w:tcPr>
            <w:tcW w:w="2579" w:type="dxa"/>
            <w:gridSpan w:val="2"/>
            <w:vMerge/>
          </w:tcPr>
          <w:p w:rsidR="00E96B18" w:rsidRDefault="00E96B18"/>
        </w:tc>
        <w:tc>
          <w:tcPr>
            <w:tcW w:w="2579" w:type="dxa"/>
            <w:gridSpan w:val="2"/>
          </w:tcPr>
          <w:p w:rsidR="00E96B18" w:rsidRDefault="00E96B18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14" w:type="dxa"/>
            <w:vMerge/>
          </w:tcPr>
          <w:p w:rsidR="00E96B18" w:rsidRDefault="00E96B18"/>
        </w:tc>
        <w:tc>
          <w:tcPr>
            <w:tcW w:w="880" w:type="dxa"/>
            <w:vMerge/>
          </w:tcPr>
          <w:p w:rsidR="00E96B18" w:rsidRDefault="00E96B18"/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E96B18">
        <w:tc>
          <w:tcPr>
            <w:tcW w:w="565" w:type="dxa"/>
            <w:vMerge w:val="restart"/>
          </w:tcPr>
          <w:p w:rsidR="00E96B18" w:rsidRDefault="00E96B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E96B18" w:rsidRDefault="00E96B18">
            <w:pPr>
              <w:pStyle w:val="ConsPlusNormal"/>
            </w:pPr>
            <w:proofErr w:type="gramStart"/>
            <w:r>
              <w:t xml:space="preserve">Государственное унитарное предприятие Ненецкого автономного округа "Ненецкая коммунальная </w:t>
            </w:r>
            <w:r>
              <w:lastRenderedPageBreak/>
              <w:t>компания"</w:t>
            </w:r>
            <w:proofErr w:type="gramEnd"/>
          </w:p>
        </w:tc>
        <w:tc>
          <w:tcPr>
            <w:tcW w:w="6038" w:type="dxa"/>
            <w:gridSpan w:val="5"/>
          </w:tcPr>
          <w:p w:rsidR="00E96B18" w:rsidRDefault="00E96B18">
            <w:pPr>
              <w:pStyle w:val="ConsPlusNormal"/>
              <w:jc w:val="center"/>
            </w:pPr>
            <w:r>
              <w:lastRenderedPageBreak/>
              <w:t>Население и потребители, приравненные к населению (тарифы указываются с учетом НДС) &lt;**&gt;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14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49,32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2 466,85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2 648,12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14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51,71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2 648,12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2 839,94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14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51,71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52,95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2 814,00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2 835,04</w:t>
            </w:r>
          </w:p>
        </w:tc>
      </w:tr>
      <w:tr w:rsidR="00E96B18">
        <w:tc>
          <w:tcPr>
            <w:tcW w:w="565" w:type="dxa"/>
            <w:vMerge/>
          </w:tcPr>
          <w:p w:rsidR="00E96B18" w:rsidRDefault="00E96B18"/>
        </w:tc>
        <w:tc>
          <w:tcPr>
            <w:tcW w:w="1814" w:type="dxa"/>
            <w:vMerge/>
          </w:tcPr>
          <w:p w:rsidR="00E96B18" w:rsidRDefault="00E96B18"/>
        </w:tc>
        <w:tc>
          <w:tcPr>
            <w:tcW w:w="880" w:type="dxa"/>
          </w:tcPr>
          <w:p w:rsidR="00E96B18" w:rsidRDefault="00E96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52,95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54,22</w:t>
            </w:r>
          </w:p>
        </w:tc>
        <w:tc>
          <w:tcPr>
            <w:tcW w:w="1304" w:type="dxa"/>
          </w:tcPr>
          <w:p w:rsidR="00E96B18" w:rsidRDefault="00E96B18">
            <w:pPr>
              <w:pStyle w:val="ConsPlusNormal"/>
              <w:jc w:val="center"/>
            </w:pPr>
            <w:r>
              <w:t>2 835,04</w:t>
            </w:r>
          </w:p>
        </w:tc>
        <w:tc>
          <w:tcPr>
            <w:tcW w:w="1275" w:type="dxa"/>
          </w:tcPr>
          <w:p w:rsidR="00E96B18" w:rsidRDefault="00E96B18">
            <w:pPr>
              <w:pStyle w:val="ConsPlusNormal"/>
              <w:jc w:val="center"/>
            </w:pPr>
            <w:r>
              <w:t>2 872,62</w:t>
            </w:r>
          </w:p>
        </w:tc>
      </w:tr>
    </w:tbl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--------------------------------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&lt;*&gt; Льготный тариф на теплоноситель установлен в Приложении 7 к настоящему приказу.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&lt;**&gt; Выделяется в целях реализации пункта 6 статьи 168 Налогового кодекса Российской Федерации (часть вторая).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ind w:firstLine="540"/>
        <w:jc w:val="both"/>
      </w:pPr>
      <w:r>
        <w:t>Примечание: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1. Экономически обоснованный тариф на теплоноситель составляет: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01.01.2020 по 30.06.2020 - 41,10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01.07.2020 по 31.12.2020 - 47,60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01.01.2021 по 30.06.2021 - 45,40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01.07.2021 по 31.12.2021 - 46,66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01.01.2022 по 30.06.2022 - 46,66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01.07.2022 по 31.12.2022 - 51,13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01.01.2023 по 30.06.2023 - 46,50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;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на период с 01.07.2023 по 31.12.2023 - 47,79 руб./</w:t>
      </w:r>
      <w:proofErr w:type="spellStart"/>
      <w:r>
        <w:t>куб.м</w:t>
      </w:r>
      <w:proofErr w:type="spellEnd"/>
      <w:r>
        <w:t>.</w:t>
      </w:r>
    </w:p>
    <w:p w:rsidR="00E96B18" w:rsidRDefault="00E96B18">
      <w:pPr>
        <w:pStyle w:val="ConsPlusNormal"/>
        <w:spacing w:before="220"/>
        <w:ind w:firstLine="540"/>
        <w:jc w:val="both"/>
      </w:pPr>
      <w:r>
        <w:t>2. Льготные тарифы для населения и потребителей, приравненных к населению, устанавливаются в соответствии с законом Ненецкого автономного округа от 09.07.2014 N 69-ОЗ "О льготах по оплате тепловой энергии (мощности), теплоносителя на территории Ненецкого автономного округа".</w:t>
      </w: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jc w:val="both"/>
      </w:pPr>
    </w:p>
    <w:p w:rsidR="00E96B18" w:rsidRDefault="00E96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2E" w:rsidRDefault="00092B2E"/>
    <w:sectPr w:rsidR="00092B2E" w:rsidSect="0085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18"/>
    <w:rsid w:val="00092B2E"/>
    <w:rsid w:val="00E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6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6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sabramovskiy</dc:creator>
  <cp:lastModifiedBy>sabramovskiy</cp:lastModifiedBy>
  <cp:revision>1</cp:revision>
  <dcterms:created xsi:type="dcterms:W3CDTF">2020-06-25T11:43:00Z</dcterms:created>
  <dcterms:modified xsi:type="dcterms:W3CDTF">2020-06-25T11:44:00Z</dcterms:modified>
</cp:coreProperties>
</file>