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1" w:rsidRDefault="00D70D41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D70D41" w:rsidRDefault="00D70D41">
      <w:pPr>
        <w:pStyle w:val="ConsPlusTitle"/>
        <w:jc w:val="center"/>
      </w:pPr>
      <w:r>
        <w:t>НЕНЕЦКОГО АВТОНОМНОГО ОКРУГА</w:t>
      </w:r>
    </w:p>
    <w:p w:rsidR="00D70D41" w:rsidRDefault="00D70D41">
      <w:pPr>
        <w:pStyle w:val="ConsPlusTitle"/>
        <w:jc w:val="both"/>
      </w:pPr>
    </w:p>
    <w:p w:rsidR="00D70D41" w:rsidRDefault="00D70D41">
      <w:pPr>
        <w:pStyle w:val="ConsPlusTitle"/>
        <w:jc w:val="center"/>
      </w:pPr>
      <w:r>
        <w:t>ПРИКАЗ</w:t>
      </w:r>
    </w:p>
    <w:p w:rsidR="00D70D41" w:rsidRDefault="00D70D41">
      <w:pPr>
        <w:pStyle w:val="ConsPlusTitle"/>
        <w:jc w:val="center"/>
      </w:pPr>
      <w:r>
        <w:t>от 18 декабря 2018 г. N 63</w:t>
      </w:r>
    </w:p>
    <w:p w:rsidR="00D70D41" w:rsidRDefault="00D70D41">
      <w:pPr>
        <w:pStyle w:val="ConsPlusTitle"/>
        <w:jc w:val="both"/>
      </w:pPr>
    </w:p>
    <w:p w:rsidR="00D70D41" w:rsidRDefault="00D70D41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D70D41" w:rsidRDefault="00D70D41">
      <w:pPr>
        <w:pStyle w:val="ConsPlusTitle"/>
        <w:jc w:val="center"/>
      </w:pPr>
      <w:r>
        <w:t xml:space="preserve">И ТАРИФОВ В СФЕРЕ ТЕПЛОСНАБЖЕНИЯ </w:t>
      </w:r>
      <w:proofErr w:type="gramStart"/>
      <w:r>
        <w:t>ДЛЯ</w:t>
      </w:r>
      <w:proofErr w:type="gramEnd"/>
      <w:r>
        <w:t xml:space="preserve"> МУНИЦИПАЛЬНОГО</w:t>
      </w:r>
    </w:p>
    <w:p w:rsidR="00D70D41" w:rsidRDefault="00D70D41">
      <w:pPr>
        <w:pStyle w:val="ConsPlusTitle"/>
        <w:jc w:val="center"/>
      </w:pPr>
      <w:r>
        <w:t>ПРЕДПРИЯТИЯ ЗАПОЛЯРНОГО РАЙОНА "СЕВЕРЖИЛКОМСЕРВИС"</w:t>
      </w:r>
    </w:p>
    <w:p w:rsidR="00D70D41" w:rsidRDefault="00D70D41">
      <w:pPr>
        <w:pStyle w:val="ConsPlusTitle"/>
        <w:jc w:val="center"/>
      </w:pPr>
      <w:r>
        <w:t>НА ДОЛГОСРОЧНЫЙ ПЕРИОД РЕГУЛИРОВАНИЯ 2019 - 2023 ГОДОВ</w:t>
      </w:r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муниципального предприятия Заполярного района "Севержилкомсервис" (далее - МП ЗР "Севержилкомсервис") на долгосрочный период регулирования 2019 - 2023 годов для формирования тарифов в сфере теплоснабжения с использованием метода индексации согласно Приложению 1.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2023 года с календарной разбивкой: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1) тарифы на тепловую энергию (мощность), поставляемую потребителям (за исключением населения и потребителей, приравненных к населению) МП ЗР "Севержилкомсервис", согласно Приложению 2;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2) льготные тарифы на тепловую энергию (мощность), поставляемую населению и потребителям, приравненным к населению, МП ЗР "Севержилкомсервис", согласно Приложению 3;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3) тарифы на теплоноситель, поставляемый потребителям (за исключением населения и потребителей, приравненных к населению) МП ЗР "Севержилкомсервис", согласно Приложению 4;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4) льготные тарифы на теплоноситель, поставляемый населению и потребителям, приравненным к населению, МП ЗР "Севержилкомсервис", согласно Приложению 5;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5) тарифы на горячую воду в открытых системах теплоснабжения (горячего водоснабжения), поставляемую потребителям (за исключением населения и потребителей, приравненных к населению) МП ЗР "Севержилкомсервис", согласно Приложению 6;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 xml:space="preserve">6) льготные тарифы на горячую воду в открытых системах теплоснабжения (горячего водоснабжения), поставляемую населению и потребителям, приравненным к населению, МП ЗР </w:t>
      </w:r>
      <w:r>
        <w:lastRenderedPageBreak/>
        <w:t>"Севержилкомсервис", согласно Приложению 7.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</w:pPr>
      <w:r>
        <w:t>Начальник Управления</w:t>
      </w:r>
    </w:p>
    <w:p w:rsidR="00D70D41" w:rsidRDefault="00D70D41">
      <w:pPr>
        <w:pStyle w:val="ConsPlusNormal"/>
        <w:jc w:val="right"/>
      </w:pPr>
      <w:r>
        <w:t>С.А.АНДРИЯНОВ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1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1" w:name="P45"/>
      <w:bookmarkEnd w:id="1"/>
      <w:r>
        <w:t>ДОЛГОСРОЧНЫЕ ПАРАМЕТРЫ</w:t>
      </w:r>
    </w:p>
    <w:p w:rsidR="00D70D41" w:rsidRDefault="00D70D41">
      <w:pPr>
        <w:pStyle w:val="ConsPlusTitle"/>
        <w:jc w:val="center"/>
      </w:pPr>
      <w:r>
        <w:t>РЕГУЛИРОВАНИЯ ДЛЯ МУНИЦИПАЛЬНОГО ПРЕДПРИЯТИЯ ЗАПОЛЯРНОГО</w:t>
      </w:r>
    </w:p>
    <w:p w:rsidR="00D70D41" w:rsidRDefault="00D70D41">
      <w:pPr>
        <w:pStyle w:val="ConsPlusTitle"/>
        <w:jc w:val="center"/>
      </w:pPr>
      <w:r>
        <w:t>РАЙОНА "СЕВЕРЖИЛКОМСЕРВИС" НА ДОЛГОСРОЧНЫЙ ПЕРИОД</w:t>
      </w:r>
    </w:p>
    <w:p w:rsidR="00D70D41" w:rsidRDefault="00D70D41">
      <w:pPr>
        <w:pStyle w:val="ConsPlusTitle"/>
        <w:jc w:val="center"/>
      </w:pPr>
      <w:r>
        <w:t>РЕГУЛИРОВАНИЯ 2019 - 2023 ГОДОВ ДЛЯ ФОРМИРОВАНИЯ ТАРИФОВ</w:t>
      </w:r>
    </w:p>
    <w:p w:rsidR="00D70D41" w:rsidRDefault="00D70D41">
      <w:pPr>
        <w:pStyle w:val="ConsPlusTitle"/>
        <w:jc w:val="center"/>
      </w:pPr>
      <w:r>
        <w:t>В СФЕРЕ ТЕПЛОСНАБЖЕНИЯ С ИСПОЛЬЗОВАНИЕМ МЕТОДА ИНДЕКСАЦИИ</w:t>
      </w:r>
    </w:p>
    <w:p w:rsidR="00D70D41" w:rsidRDefault="00D70D41">
      <w:pPr>
        <w:pStyle w:val="ConsPlusNormal"/>
        <w:jc w:val="both"/>
      </w:pPr>
    </w:p>
    <w:p w:rsidR="00D70D41" w:rsidRDefault="00D70D41">
      <w:pPr>
        <w:sectPr w:rsidR="00D70D41" w:rsidSect="006A3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850"/>
        <w:gridCol w:w="1417"/>
        <w:gridCol w:w="1417"/>
        <w:gridCol w:w="1077"/>
        <w:gridCol w:w="1134"/>
        <w:gridCol w:w="1134"/>
        <w:gridCol w:w="1644"/>
      </w:tblGrid>
      <w:tr w:rsidR="00D70D41">
        <w:tc>
          <w:tcPr>
            <w:tcW w:w="242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417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4989" w:type="dxa"/>
            <w:gridSpan w:val="4"/>
          </w:tcPr>
          <w:p w:rsidR="00D70D41" w:rsidRDefault="00D70D41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  <w:vMerge/>
          </w:tcPr>
          <w:p w:rsidR="00D70D41" w:rsidRDefault="00D70D41"/>
        </w:tc>
        <w:tc>
          <w:tcPr>
            <w:tcW w:w="1417" w:type="dxa"/>
            <w:vMerge/>
          </w:tcPr>
          <w:p w:rsidR="00D70D41" w:rsidRDefault="00D70D41"/>
        </w:tc>
        <w:tc>
          <w:tcPr>
            <w:tcW w:w="1417" w:type="dxa"/>
            <w:vMerge/>
          </w:tcPr>
          <w:p w:rsidR="00D70D41" w:rsidRDefault="00D70D41"/>
        </w:tc>
        <w:tc>
          <w:tcPr>
            <w:tcW w:w="3345" w:type="dxa"/>
            <w:gridSpan w:val="3"/>
          </w:tcPr>
          <w:p w:rsidR="00D70D41" w:rsidRDefault="00D70D41">
            <w:pPr>
              <w:pStyle w:val="ConsPlusNormal"/>
              <w:jc w:val="center"/>
            </w:pPr>
            <w:r>
              <w:t xml:space="preserve">удельный расход топлива,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644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Технологические потери тепловой энергии, Гкал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  <w:vMerge/>
          </w:tcPr>
          <w:p w:rsidR="00D70D41" w:rsidRDefault="00D70D41"/>
        </w:tc>
        <w:tc>
          <w:tcPr>
            <w:tcW w:w="1417" w:type="dxa"/>
            <w:vMerge/>
          </w:tcPr>
          <w:p w:rsidR="00D70D41" w:rsidRDefault="00D70D41"/>
        </w:tc>
        <w:tc>
          <w:tcPr>
            <w:tcW w:w="1417" w:type="dxa"/>
            <w:vMerge/>
          </w:tcPr>
          <w:p w:rsidR="00D70D41" w:rsidRDefault="00D70D41"/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каменный уголь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644" w:type="dxa"/>
            <w:vMerge/>
          </w:tcPr>
          <w:p w:rsidR="00D70D41" w:rsidRDefault="00D70D41"/>
        </w:tc>
      </w:tr>
      <w:tr w:rsidR="00D70D41">
        <w:tc>
          <w:tcPr>
            <w:tcW w:w="242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850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183 312,13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644" w:type="dxa"/>
          </w:tcPr>
          <w:p w:rsidR="00D70D41" w:rsidRDefault="00D70D41">
            <w:pPr>
              <w:pStyle w:val="ConsPlusNormal"/>
              <w:jc w:val="center"/>
            </w:pPr>
            <w:r>
              <w:t>4 216,2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</w:pP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644" w:type="dxa"/>
          </w:tcPr>
          <w:p w:rsidR="00D70D41" w:rsidRDefault="00D70D41">
            <w:pPr>
              <w:pStyle w:val="ConsPlusNormal"/>
              <w:jc w:val="center"/>
            </w:pPr>
            <w:r>
              <w:t>4 216,2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</w:pP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644" w:type="dxa"/>
          </w:tcPr>
          <w:p w:rsidR="00D70D41" w:rsidRDefault="00D70D41">
            <w:pPr>
              <w:pStyle w:val="ConsPlusNormal"/>
              <w:jc w:val="center"/>
            </w:pPr>
            <w:r>
              <w:t>4 216,2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</w:pP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644" w:type="dxa"/>
          </w:tcPr>
          <w:p w:rsidR="00D70D41" w:rsidRDefault="00D70D41">
            <w:pPr>
              <w:pStyle w:val="ConsPlusNormal"/>
              <w:jc w:val="center"/>
            </w:pPr>
            <w:r>
              <w:t>4 216,2</w:t>
            </w:r>
          </w:p>
        </w:tc>
      </w:tr>
      <w:tr w:rsidR="00D70D41">
        <w:tc>
          <w:tcPr>
            <w:tcW w:w="2428" w:type="dxa"/>
            <w:vMerge/>
          </w:tcPr>
          <w:p w:rsidR="00D70D41" w:rsidRDefault="00D70D41"/>
        </w:tc>
        <w:tc>
          <w:tcPr>
            <w:tcW w:w="850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</w:pP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0D41" w:rsidRDefault="00D70D4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644" w:type="dxa"/>
          </w:tcPr>
          <w:p w:rsidR="00D70D41" w:rsidRDefault="00D70D41">
            <w:pPr>
              <w:pStyle w:val="ConsPlusNormal"/>
              <w:jc w:val="center"/>
            </w:pPr>
            <w:r>
              <w:t>4 216,2</w:t>
            </w:r>
          </w:p>
        </w:tc>
      </w:tr>
    </w:tbl>
    <w:p w:rsidR="00D70D41" w:rsidRDefault="00D70D41">
      <w:pPr>
        <w:sectPr w:rsidR="00D70D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2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2" w:name="P114"/>
      <w:bookmarkEnd w:id="2"/>
      <w:r>
        <w:t>ТАРИФЫ</w:t>
      </w:r>
    </w:p>
    <w:p w:rsidR="00D70D41" w:rsidRDefault="00D70D41">
      <w:pPr>
        <w:pStyle w:val="ConsPlusTitle"/>
        <w:jc w:val="center"/>
      </w:pPr>
      <w:r>
        <w:t>НА ТЕПЛОВУЮ ЭНЕРГИЮ (МОЩНОСТЬ), ПОСТАВЛЯЕМУЮ</w:t>
      </w:r>
    </w:p>
    <w:p w:rsidR="00D70D41" w:rsidRDefault="00D70D41">
      <w:pPr>
        <w:pStyle w:val="ConsPlusTitle"/>
        <w:jc w:val="center"/>
      </w:pPr>
      <w:proofErr w:type="gramStart"/>
      <w:r>
        <w:t>ПОТРЕБИТЕЛЯМ (ЗА ИСКЛЮЧЕНИЕМ НАСЕЛЕНИЯ И ПОТРЕБИТЕЛЕЙ,</w:t>
      </w:r>
      <w:proofErr w:type="gramEnd"/>
    </w:p>
    <w:p w:rsidR="00D70D41" w:rsidRDefault="00D70D41">
      <w:pPr>
        <w:pStyle w:val="ConsPlusTitle"/>
        <w:jc w:val="center"/>
      </w:pPr>
      <w:proofErr w:type="gramStart"/>
      <w:r>
        <w:t>ПРИРАВНЕННЫХ К НАСЕЛЕНИЮ)</w:t>
      </w:r>
      <w:proofErr w:type="gramEnd"/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35"/>
        <w:gridCol w:w="1022"/>
        <w:gridCol w:w="1757"/>
        <w:gridCol w:w="1701"/>
      </w:tblGrid>
      <w:tr w:rsidR="00D70D41">
        <w:tc>
          <w:tcPr>
            <w:tcW w:w="209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035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22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58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Вода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/>
          </w:tcPr>
          <w:p w:rsidR="00D70D41" w:rsidRDefault="00D70D41"/>
        </w:tc>
        <w:tc>
          <w:tcPr>
            <w:tcW w:w="1022" w:type="dxa"/>
            <w:vMerge/>
          </w:tcPr>
          <w:p w:rsidR="00D70D41" w:rsidRDefault="00D70D41"/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209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515" w:type="dxa"/>
            <w:gridSpan w:val="4"/>
          </w:tcPr>
          <w:p w:rsidR="00D70D41" w:rsidRDefault="00D70D41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1022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13 740,00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14 065,72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/>
          </w:tcPr>
          <w:p w:rsidR="00D70D41" w:rsidRDefault="00D70D41"/>
        </w:tc>
        <w:tc>
          <w:tcPr>
            <w:tcW w:w="1022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14 065,72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19 269.92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/>
          </w:tcPr>
          <w:p w:rsidR="00D70D41" w:rsidRDefault="00D70D41"/>
        </w:tc>
        <w:tc>
          <w:tcPr>
            <w:tcW w:w="1022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14 288,57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15 126,48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/>
          </w:tcPr>
          <w:p w:rsidR="00D70D41" w:rsidRDefault="00D70D41"/>
        </w:tc>
        <w:tc>
          <w:tcPr>
            <w:tcW w:w="1022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15 126,48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15 382,97</w:t>
            </w:r>
          </w:p>
        </w:tc>
      </w:tr>
      <w:tr w:rsidR="00D70D41">
        <w:tc>
          <w:tcPr>
            <w:tcW w:w="2098" w:type="dxa"/>
            <w:vMerge/>
          </w:tcPr>
          <w:p w:rsidR="00D70D41" w:rsidRDefault="00D70D41"/>
        </w:tc>
        <w:tc>
          <w:tcPr>
            <w:tcW w:w="2035" w:type="dxa"/>
            <w:vMerge/>
          </w:tcPr>
          <w:p w:rsidR="00D70D41" w:rsidRDefault="00D70D41"/>
        </w:tc>
        <w:tc>
          <w:tcPr>
            <w:tcW w:w="1022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15 382,97</w:t>
            </w:r>
          </w:p>
        </w:tc>
        <w:tc>
          <w:tcPr>
            <w:tcW w:w="1701" w:type="dxa"/>
          </w:tcPr>
          <w:p w:rsidR="00D70D41" w:rsidRDefault="00D70D41">
            <w:pPr>
              <w:pStyle w:val="ConsPlusNormal"/>
              <w:jc w:val="center"/>
            </w:pPr>
            <w:r>
              <w:t>16 267,52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3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lastRenderedPageBreak/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3" w:name="P163"/>
      <w:bookmarkEnd w:id="3"/>
      <w:r>
        <w:t>ЛЬГОТНЫЕ ТАРИФЫ</w:t>
      </w:r>
    </w:p>
    <w:p w:rsidR="00D70D41" w:rsidRDefault="00D70D41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D70D41" w:rsidRDefault="00D70D41">
      <w:pPr>
        <w:pStyle w:val="ConsPlusTitle"/>
        <w:jc w:val="center"/>
      </w:pPr>
      <w:r>
        <w:t>И ПОТРЕБИТЕЛЯМ, ПРИРАВНЕННЫМ К НАСЕЛЕНИЮ</w:t>
      </w:r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28"/>
        <w:gridCol w:w="737"/>
        <w:gridCol w:w="1417"/>
        <w:gridCol w:w="1474"/>
      </w:tblGrid>
      <w:tr w:rsidR="00D70D41">
        <w:tc>
          <w:tcPr>
            <w:tcW w:w="311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37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91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  <w:vMerge/>
          </w:tcPr>
          <w:p w:rsidR="00D70D41" w:rsidRDefault="00D70D41"/>
        </w:tc>
        <w:tc>
          <w:tcPr>
            <w:tcW w:w="2891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вода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  <w:vMerge/>
          </w:tcPr>
          <w:p w:rsidR="00D70D41" w:rsidRDefault="00D70D41"/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311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"Великовисочный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1 213,84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1 242,97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1 242,97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1 272,80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1 272,80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1 303,34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1 303,34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1 334,62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1 334,62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1 366,65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"Канинский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1 280,05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1 441,21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с. Коткино муниципального образования "Коткинский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  <w:tr w:rsidR="00D70D41">
        <w:tc>
          <w:tcPr>
            <w:tcW w:w="311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"Омский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1 225,78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1 255,20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1 255,20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1 285,32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1 285,32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1 316,17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1 316,17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1 347,76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1 347,76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1 380,11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"Пешский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1 280,05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1 441,21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"Тельвисочный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"Хорей-Верский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r>
              <w:lastRenderedPageBreak/>
              <w:t>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"Хоседа-Хардский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  <w:tr w:rsidR="00D70D41">
        <w:tc>
          <w:tcPr>
            <w:tcW w:w="311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"Юшарский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932,69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955,07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955,07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977,99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977,99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1 001,46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1 001,46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1 025,50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1 025,50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1 050,11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"Пустозерский сельсовет"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1 280,05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1 310,78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1 342,24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1 374,45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1 407,44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1 441,21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5556" w:type="dxa"/>
            <w:gridSpan w:val="4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п. Амдерма Ненецкого автономного округа (тарифы указываются с учетом НДС) &lt;*&gt;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3118" w:type="dxa"/>
            <w:vMerge/>
          </w:tcPr>
          <w:p w:rsidR="00D70D41" w:rsidRDefault="00D70D41"/>
        </w:tc>
        <w:tc>
          <w:tcPr>
            <w:tcW w:w="1928" w:type="dxa"/>
            <w:vMerge/>
          </w:tcPr>
          <w:p w:rsidR="00D70D41" w:rsidRDefault="00D70D41"/>
        </w:tc>
        <w:tc>
          <w:tcPr>
            <w:tcW w:w="73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--------------------------------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Примечание: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01.01.2019 по 30.06.2019 - 13 740,00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01.07.2019 по 31.12.2019 - 14 065,72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01.01.2020 по 30.06.2020 - 14 065,72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01.07.2020 по 31.12.2020 - 14 288,57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01.01.2021 по 30.06.2021 - 14 288,57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01.07.2021 по 31.12.2021 - 15 126,48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01.01.2022 по 30.06.2022 - 15 126,48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01.07.2022 по 31.12.2022 - 15 382,97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01.01.2023 по 30.06.2023 - 15 382,97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01.07.2023 по 31.12.2023 - 16 267,52 руб./Гкал.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4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4" w:name="P401"/>
      <w:bookmarkEnd w:id="4"/>
      <w:r>
        <w:lastRenderedPageBreak/>
        <w:t>ТАРИФЫ</w:t>
      </w:r>
    </w:p>
    <w:p w:rsidR="00D70D41" w:rsidRDefault="00D70D41">
      <w:pPr>
        <w:pStyle w:val="ConsPlusTitle"/>
        <w:jc w:val="center"/>
      </w:pPr>
      <w:proofErr w:type="gramStart"/>
      <w:r>
        <w:t>НА ТЕПЛОНОСИТЕЛЬ, ПОСТАВЛЯЕМЫЙ ПОТРЕБИТЕЛЯМ (ЗА ИСКЛЮЧЕНИЕМ</w:t>
      </w:r>
      <w:proofErr w:type="gramEnd"/>
    </w:p>
    <w:p w:rsidR="00D70D41" w:rsidRDefault="00D70D41">
      <w:pPr>
        <w:pStyle w:val="ConsPlusTitle"/>
        <w:jc w:val="center"/>
      </w:pPr>
      <w:proofErr w:type="gramStart"/>
      <w:r>
        <w:t>НАСЕЛЕНИЯ И ПОТРЕБИТЕЛЕЙ, ПРИРАВНЕННЫХ К НАСЕЛЕНИЮ)</w:t>
      </w:r>
      <w:proofErr w:type="gramEnd"/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8"/>
        <w:gridCol w:w="2098"/>
        <w:gridCol w:w="821"/>
        <w:gridCol w:w="1587"/>
        <w:gridCol w:w="1757"/>
      </w:tblGrid>
      <w:tr w:rsidR="00D70D41">
        <w:tc>
          <w:tcPr>
            <w:tcW w:w="244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09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21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344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  <w:vMerge/>
          </w:tcPr>
          <w:p w:rsidR="00D70D41" w:rsidRDefault="00D70D41"/>
        </w:tc>
        <w:tc>
          <w:tcPr>
            <w:tcW w:w="3344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вода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  <w:vMerge/>
          </w:tcPr>
          <w:p w:rsidR="00D70D41" w:rsidRDefault="00D70D41"/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244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263" w:type="dxa"/>
            <w:gridSpan w:val="4"/>
          </w:tcPr>
          <w:p w:rsidR="00D70D41" w:rsidRDefault="00D70D41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1 066,65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3 394,19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2 500,00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2 687,06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1 981,70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2 333,17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6263" w:type="dxa"/>
            <w:gridSpan w:val="4"/>
          </w:tcPr>
          <w:p w:rsidR="00D70D41" w:rsidRDefault="00D70D41">
            <w:pPr>
              <w:pStyle w:val="ConsPlusNormal"/>
              <w:jc w:val="center"/>
            </w:pPr>
            <w:r>
              <w:t>Тариф на теплоноситель, поставляемый потребителям (за исключением населения и потребителей, приравненных к населению)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1 066,65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3 394,19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2 500,00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2 687,06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1 981,70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</w:tr>
      <w:tr w:rsidR="00D70D41">
        <w:tc>
          <w:tcPr>
            <w:tcW w:w="2448" w:type="dxa"/>
            <w:vMerge/>
          </w:tcPr>
          <w:p w:rsidR="00D70D41" w:rsidRDefault="00D70D41"/>
        </w:tc>
        <w:tc>
          <w:tcPr>
            <w:tcW w:w="2098" w:type="dxa"/>
            <w:vMerge/>
          </w:tcPr>
          <w:p w:rsidR="00D70D41" w:rsidRDefault="00D70D41"/>
        </w:tc>
        <w:tc>
          <w:tcPr>
            <w:tcW w:w="821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1757" w:type="dxa"/>
          </w:tcPr>
          <w:p w:rsidR="00D70D41" w:rsidRDefault="00D70D41">
            <w:pPr>
              <w:pStyle w:val="ConsPlusNormal"/>
              <w:jc w:val="center"/>
            </w:pPr>
            <w:r>
              <w:t>2 333,17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5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lastRenderedPageBreak/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5" w:name="P467"/>
      <w:bookmarkEnd w:id="5"/>
      <w:r>
        <w:t>ЛЬГОТНЫЕ ТАРИФЫ</w:t>
      </w:r>
    </w:p>
    <w:p w:rsidR="00D70D41" w:rsidRDefault="00D70D41">
      <w:pPr>
        <w:pStyle w:val="ConsPlusTitle"/>
        <w:jc w:val="center"/>
      </w:pPr>
      <w:r>
        <w:t>НА ТЕПЛОНОСИТЕЛЬ, ПОСТАВЛЯЕМЫЙ НАСЕЛЕНИЮ</w:t>
      </w:r>
    </w:p>
    <w:p w:rsidR="00D70D41" w:rsidRDefault="00D70D41">
      <w:pPr>
        <w:pStyle w:val="ConsPlusTitle"/>
        <w:jc w:val="center"/>
      </w:pPr>
      <w:r>
        <w:t>И ПОТРЕБИТЕЛЯМ, ПРИРАВНЕННЫМ К НАСЕЛЕНИЮ</w:t>
      </w:r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14"/>
        <w:gridCol w:w="340"/>
        <w:gridCol w:w="783"/>
        <w:gridCol w:w="1417"/>
        <w:gridCol w:w="1531"/>
      </w:tblGrid>
      <w:tr w:rsidR="00D70D41">
        <w:tc>
          <w:tcPr>
            <w:tcW w:w="2410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14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23" w:type="dxa"/>
            <w:gridSpan w:val="2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114" w:type="dxa"/>
            <w:vMerge/>
          </w:tcPr>
          <w:p w:rsidR="00D70D41" w:rsidRDefault="00D70D41"/>
        </w:tc>
        <w:tc>
          <w:tcPr>
            <w:tcW w:w="1123" w:type="dxa"/>
            <w:gridSpan w:val="2"/>
            <w:vMerge/>
          </w:tcPr>
          <w:p w:rsidR="00D70D41" w:rsidRDefault="00D70D41"/>
        </w:tc>
        <w:tc>
          <w:tcPr>
            <w:tcW w:w="2948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вода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114" w:type="dxa"/>
            <w:vMerge/>
          </w:tcPr>
          <w:p w:rsidR="00D70D41" w:rsidRDefault="00D70D41"/>
        </w:tc>
        <w:tc>
          <w:tcPr>
            <w:tcW w:w="1123" w:type="dxa"/>
            <w:gridSpan w:val="2"/>
            <w:vMerge/>
          </w:tcPr>
          <w:p w:rsidR="00D70D41" w:rsidRDefault="00D70D41"/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2410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185" w:type="dxa"/>
            <w:gridSpan w:val="5"/>
          </w:tcPr>
          <w:p w:rsidR="00D70D41" w:rsidRDefault="00D70D41">
            <w:pPr>
              <w:pStyle w:val="ConsPlusNormal"/>
            </w:pPr>
            <w:r>
              <w:t>Льготный тариф на теплоноситель, поставляемый населению и потребителям, приравненным к населению, проживающим в МО "Тельвисочный сельсовет" и п. Амдерма Ненецкого автономного округа (тарифы указываются с учетом НДС) &lt;*&gt;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454" w:type="dxa"/>
            <w:gridSpan w:val="2"/>
            <w:vMerge w:val="restart"/>
          </w:tcPr>
          <w:p w:rsidR="00D70D41" w:rsidRDefault="00D70D4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783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209,32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214,34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454" w:type="dxa"/>
            <w:gridSpan w:val="2"/>
            <w:vMerge/>
          </w:tcPr>
          <w:p w:rsidR="00D70D41" w:rsidRDefault="00D70D41"/>
        </w:tc>
        <w:tc>
          <w:tcPr>
            <w:tcW w:w="783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219,48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454" w:type="dxa"/>
            <w:gridSpan w:val="2"/>
            <w:vMerge/>
          </w:tcPr>
          <w:p w:rsidR="00D70D41" w:rsidRDefault="00D70D41"/>
        </w:tc>
        <w:tc>
          <w:tcPr>
            <w:tcW w:w="783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219,48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224,75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454" w:type="dxa"/>
            <w:gridSpan w:val="2"/>
            <w:vMerge/>
          </w:tcPr>
          <w:p w:rsidR="00D70D41" w:rsidRDefault="00D70D41"/>
        </w:tc>
        <w:tc>
          <w:tcPr>
            <w:tcW w:w="783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224,75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230,15</w:t>
            </w:r>
          </w:p>
        </w:tc>
      </w:tr>
      <w:tr w:rsidR="00D70D41">
        <w:tc>
          <w:tcPr>
            <w:tcW w:w="2410" w:type="dxa"/>
            <w:vMerge/>
          </w:tcPr>
          <w:p w:rsidR="00D70D41" w:rsidRDefault="00D70D41"/>
        </w:tc>
        <w:tc>
          <w:tcPr>
            <w:tcW w:w="2454" w:type="dxa"/>
            <w:gridSpan w:val="2"/>
            <w:vMerge/>
          </w:tcPr>
          <w:p w:rsidR="00D70D41" w:rsidRDefault="00D70D41"/>
        </w:tc>
        <w:tc>
          <w:tcPr>
            <w:tcW w:w="783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70D41" w:rsidRDefault="00D70D41">
            <w:pPr>
              <w:pStyle w:val="ConsPlusNormal"/>
              <w:jc w:val="center"/>
            </w:pPr>
            <w:r>
              <w:t>230,15</w:t>
            </w:r>
          </w:p>
        </w:tc>
        <w:tc>
          <w:tcPr>
            <w:tcW w:w="1531" w:type="dxa"/>
          </w:tcPr>
          <w:p w:rsidR="00D70D41" w:rsidRDefault="00D70D41">
            <w:pPr>
              <w:pStyle w:val="ConsPlusNormal"/>
              <w:jc w:val="center"/>
            </w:pPr>
            <w:r>
              <w:t>235,67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--------------------------------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Примечание: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01.01.2019 по 30.06.2019 - 1 066,65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01.07.2019 по 31.12.2019 - 3 394,19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01.01.2020 по 30.06.2020 - 2 500,00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01.07.2020 по 31.12.2020 - 2 687,06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01.01.2021 по 30.06.2021 - 1 981,70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01.07.2021 по 31.12.2021 - 2 143,58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lastRenderedPageBreak/>
        <w:t>на период с 01.01.2022 по 30.06.2022 - 2 143,58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01.07.2022 по 31.12.2022 - 2 072,50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01.01.2023 по 30.06.2023 - 2 072,50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01.07.2023 по 31.12.2023 - 2 333,17 руб./куб. м.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6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6" w:name="P533"/>
      <w:bookmarkEnd w:id="6"/>
      <w:r>
        <w:t>ТАРИФЫ</w:t>
      </w:r>
    </w:p>
    <w:p w:rsidR="00D70D41" w:rsidRDefault="00D70D41">
      <w:pPr>
        <w:pStyle w:val="ConsPlusTitle"/>
        <w:jc w:val="center"/>
      </w:pPr>
      <w:proofErr w:type="gramStart"/>
      <w:r>
        <w:t>НА ГОРЯЧУЮ ВОДУ В ОТКРЫТЫХ СИСТЕМАХ ТЕПЛОСНАБЖЕНИЯ (ГОРЯЧЕЕ</w:t>
      </w:r>
      <w:proofErr w:type="gramEnd"/>
    </w:p>
    <w:p w:rsidR="00D70D41" w:rsidRDefault="00D70D41">
      <w:pPr>
        <w:pStyle w:val="ConsPlusTitle"/>
        <w:jc w:val="center"/>
      </w:pPr>
      <w:r>
        <w:t xml:space="preserve">ВОДОСНАБЖЕНИЕ), </w:t>
      </w:r>
      <w:proofErr w:type="gramStart"/>
      <w:r>
        <w:t>ПОСТАВЛЯЕМУЮ</w:t>
      </w:r>
      <w:proofErr w:type="gramEnd"/>
      <w:r>
        <w:t xml:space="preserve"> ПОТРЕБИТЕЛЯМ (ЗА ИСКЛЮЧЕНИЕМ</w:t>
      </w:r>
    </w:p>
    <w:p w:rsidR="00D70D41" w:rsidRDefault="00D70D41">
      <w:pPr>
        <w:pStyle w:val="ConsPlusTitle"/>
        <w:jc w:val="center"/>
      </w:pPr>
      <w:proofErr w:type="gramStart"/>
      <w:r>
        <w:t>НАСЕЛЕНИЯ И ПОТРЕБИТЕЛЕЙ, ПРИРАВНЕННЫХ К НАСЕЛЕНИЮ)</w:t>
      </w:r>
      <w:proofErr w:type="gramEnd"/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835"/>
        <w:gridCol w:w="1134"/>
        <w:gridCol w:w="1361"/>
        <w:gridCol w:w="1474"/>
        <w:gridCol w:w="1587"/>
      </w:tblGrid>
      <w:tr w:rsidR="00D70D41">
        <w:tc>
          <w:tcPr>
            <w:tcW w:w="1984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35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95" w:type="dxa"/>
            <w:gridSpan w:val="2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3061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  <w:vMerge/>
          </w:tcPr>
          <w:p w:rsidR="00D70D41" w:rsidRDefault="00D70D41"/>
        </w:tc>
        <w:tc>
          <w:tcPr>
            <w:tcW w:w="2495" w:type="dxa"/>
            <w:gridSpan w:val="2"/>
            <w:vMerge/>
          </w:tcPr>
          <w:p w:rsidR="00D70D41" w:rsidRDefault="00D70D41"/>
        </w:tc>
        <w:tc>
          <w:tcPr>
            <w:tcW w:w="3061" w:type="dxa"/>
            <w:gridSpan w:val="2"/>
          </w:tcPr>
          <w:p w:rsidR="00D70D41" w:rsidRDefault="00D70D41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  <w:vMerge/>
          </w:tcPr>
          <w:p w:rsidR="00D70D41" w:rsidRDefault="00D70D41"/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1984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</w:t>
            </w:r>
            <w:r>
              <w:lastRenderedPageBreak/>
              <w:t>ис"</w:t>
            </w:r>
          </w:p>
        </w:tc>
        <w:tc>
          <w:tcPr>
            <w:tcW w:w="6391" w:type="dxa"/>
            <w:gridSpan w:val="5"/>
          </w:tcPr>
          <w:p w:rsidR="00D70D41" w:rsidRDefault="00D70D41">
            <w:pPr>
              <w:pStyle w:val="ConsPlusNormal"/>
              <w:jc w:val="center"/>
            </w:pPr>
            <w:r>
              <w:lastRenderedPageBreak/>
              <w:t>Прочие потребители (за исключением населения и потребителей, приравненных к населению)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1 066,65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3 394,19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13 740,00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14 065,72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2 500,00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2 687,06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14 065,72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19 269,92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1 981,70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14 288,57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15 126,48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2 143,58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15 126,48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15 382,97</w:t>
            </w:r>
          </w:p>
        </w:tc>
      </w:tr>
      <w:tr w:rsidR="00D70D41">
        <w:tc>
          <w:tcPr>
            <w:tcW w:w="1984" w:type="dxa"/>
            <w:vMerge/>
          </w:tcPr>
          <w:p w:rsidR="00D70D41" w:rsidRDefault="00D70D41"/>
        </w:tc>
        <w:tc>
          <w:tcPr>
            <w:tcW w:w="835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D70D41" w:rsidRDefault="00D70D41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2 333,17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15 382,97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16 267,52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right"/>
        <w:outlineLvl w:val="0"/>
      </w:pPr>
      <w:r>
        <w:t>Приложение 7</w:t>
      </w:r>
    </w:p>
    <w:p w:rsidR="00D70D41" w:rsidRDefault="00D70D41">
      <w:pPr>
        <w:pStyle w:val="ConsPlusNormal"/>
        <w:jc w:val="right"/>
      </w:pPr>
      <w:r>
        <w:t>к приказу Управления по государственному</w:t>
      </w:r>
    </w:p>
    <w:p w:rsidR="00D70D41" w:rsidRDefault="00D70D41">
      <w:pPr>
        <w:pStyle w:val="ConsPlusNormal"/>
        <w:jc w:val="right"/>
      </w:pPr>
      <w:r>
        <w:t>регулированию цен (тарифов)</w:t>
      </w:r>
    </w:p>
    <w:p w:rsidR="00D70D41" w:rsidRDefault="00D70D41">
      <w:pPr>
        <w:pStyle w:val="ConsPlusNormal"/>
        <w:jc w:val="right"/>
      </w:pPr>
      <w:r>
        <w:t>Ненецкого автономного округа</w:t>
      </w:r>
    </w:p>
    <w:p w:rsidR="00D70D41" w:rsidRDefault="00D70D41">
      <w:pPr>
        <w:pStyle w:val="ConsPlusNormal"/>
        <w:jc w:val="right"/>
      </w:pPr>
      <w:r>
        <w:t>от 18.12.2018 N 63</w:t>
      </w:r>
    </w:p>
    <w:p w:rsidR="00D70D41" w:rsidRDefault="00D70D41">
      <w:pPr>
        <w:pStyle w:val="ConsPlusNormal"/>
        <w:jc w:val="right"/>
      </w:pPr>
      <w:r>
        <w:t>"Об установлении долгосрочных параметров</w:t>
      </w:r>
    </w:p>
    <w:p w:rsidR="00D70D41" w:rsidRDefault="00D70D41">
      <w:pPr>
        <w:pStyle w:val="ConsPlusNormal"/>
        <w:jc w:val="right"/>
      </w:pPr>
      <w:r>
        <w:t>регулирования и тарифов в сфере</w:t>
      </w:r>
    </w:p>
    <w:p w:rsidR="00D70D41" w:rsidRDefault="00D70D41">
      <w:pPr>
        <w:pStyle w:val="ConsPlusNormal"/>
        <w:jc w:val="right"/>
      </w:pPr>
      <w:r>
        <w:t>теплоснабжения для муниципального</w:t>
      </w:r>
    </w:p>
    <w:p w:rsidR="00D70D41" w:rsidRDefault="00D70D41">
      <w:pPr>
        <w:pStyle w:val="ConsPlusNormal"/>
        <w:jc w:val="right"/>
      </w:pPr>
      <w:r>
        <w:t>предприятия Заполярного района</w:t>
      </w:r>
    </w:p>
    <w:p w:rsidR="00D70D41" w:rsidRDefault="00D70D41">
      <w:pPr>
        <w:pStyle w:val="ConsPlusNormal"/>
        <w:jc w:val="right"/>
      </w:pPr>
      <w:r>
        <w:t>"Севержилкомсервис" на долгосрочный</w:t>
      </w:r>
    </w:p>
    <w:p w:rsidR="00D70D41" w:rsidRDefault="00D70D41">
      <w:pPr>
        <w:pStyle w:val="ConsPlusNormal"/>
        <w:jc w:val="right"/>
      </w:pPr>
      <w:r>
        <w:t>период регулирования 2019 - 2023 годов"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Title"/>
        <w:jc w:val="center"/>
      </w:pPr>
      <w:bookmarkStart w:id="7" w:name="P594"/>
      <w:bookmarkEnd w:id="7"/>
      <w:r>
        <w:t>ЛЬГОТНЫЕ ТАРИФЫ</w:t>
      </w:r>
    </w:p>
    <w:p w:rsidR="00D70D41" w:rsidRDefault="00D70D41">
      <w:pPr>
        <w:pStyle w:val="ConsPlusTitle"/>
        <w:jc w:val="center"/>
      </w:pPr>
      <w:proofErr w:type="gramStart"/>
      <w:r>
        <w:t>НА ГОРЯЧУЮ ВОДУ В ОТКРЫТЫХ СИСТЕМАХ ТЕПЛОСНАБЖЕНИЯ (ГОРЯЧЕЕ</w:t>
      </w:r>
      <w:proofErr w:type="gramEnd"/>
    </w:p>
    <w:p w:rsidR="00D70D41" w:rsidRDefault="00D70D41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D70D41" w:rsidRDefault="00D70D41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</w:t>
      </w:r>
    </w:p>
    <w:p w:rsidR="00D70D41" w:rsidRDefault="00D70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D41" w:rsidRDefault="00D70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D70D41" w:rsidRDefault="00D70D41">
            <w:pPr>
              <w:pStyle w:val="ConsPlusNormal"/>
              <w:jc w:val="center"/>
            </w:pPr>
            <w:r>
              <w:rPr>
                <w:color w:val="392C69"/>
              </w:rPr>
              <w:t>НАО от 19.12.2019 N 85)</w:t>
            </w:r>
          </w:p>
        </w:tc>
      </w:tr>
    </w:tbl>
    <w:p w:rsidR="00D70D41" w:rsidRDefault="00D70D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817"/>
        <w:gridCol w:w="1361"/>
        <w:gridCol w:w="1474"/>
        <w:gridCol w:w="1361"/>
        <w:gridCol w:w="1587"/>
      </w:tblGrid>
      <w:tr w:rsidR="00D70D41">
        <w:tc>
          <w:tcPr>
            <w:tcW w:w="2438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17" w:type="dxa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5" w:type="dxa"/>
            <w:gridSpan w:val="2"/>
            <w:vMerge w:val="restart"/>
          </w:tcPr>
          <w:p w:rsidR="00D70D41" w:rsidRDefault="00D70D41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948" w:type="dxa"/>
            <w:gridSpan w:val="2"/>
          </w:tcPr>
          <w:p w:rsidR="00D70D41" w:rsidRDefault="00D70D41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  <w:vMerge/>
          </w:tcPr>
          <w:p w:rsidR="00D70D41" w:rsidRDefault="00D70D41"/>
        </w:tc>
        <w:tc>
          <w:tcPr>
            <w:tcW w:w="2835" w:type="dxa"/>
            <w:gridSpan w:val="2"/>
            <w:vMerge/>
          </w:tcPr>
          <w:p w:rsidR="00D70D41" w:rsidRDefault="00D70D41"/>
        </w:tc>
        <w:tc>
          <w:tcPr>
            <w:tcW w:w="2948" w:type="dxa"/>
            <w:gridSpan w:val="2"/>
          </w:tcPr>
          <w:p w:rsidR="00D70D41" w:rsidRDefault="00D70D41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  <w:vMerge/>
          </w:tcPr>
          <w:p w:rsidR="00D70D41" w:rsidRDefault="00D70D41"/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70D41">
        <w:tc>
          <w:tcPr>
            <w:tcW w:w="2438" w:type="dxa"/>
            <w:vMerge w:val="restart"/>
          </w:tcPr>
          <w:p w:rsidR="00D70D41" w:rsidRDefault="00D70D41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600" w:type="dxa"/>
            <w:gridSpan w:val="5"/>
          </w:tcPr>
          <w:p w:rsidR="00D70D41" w:rsidRDefault="00D70D41">
            <w:pPr>
              <w:pStyle w:val="ConsPlusNormal"/>
            </w:pPr>
            <w:r>
              <w:t>Население и потребители, приравненные к населению, проживающие в МО "Тельвисочный сельсовет" и п. Амдерма Ненецкого автономного округа (тарифы указываются с учетом НДС) &lt;**&gt;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</w:tcPr>
          <w:p w:rsidR="00D70D41" w:rsidRDefault="00D70D4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209,32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1 356,85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</w:tcPr>
          <w:p w:rsidR="00D70D41" w:rsidRDefault="00D70D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219,48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1 389,42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</w:tcPr>
          <w:p w:rsidR="00D70D41" w:rsidRDefault="00D70D4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219,48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224,75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1 422,77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</w:tcPr>
          <w:p w:rsidR="00D70D41" w:rsidRDefault="00D70D4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224,75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230,15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1 456,92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</w:tr>
      <w:tr w:rsidR="00D70D41">
        <w:tc>
          <w:tcPr>
            <w:tcW w:w="2438" w:type="dxa"/>
            <w:vMerge/>
          </w:tcPr>
          <w:p w:rsidR="00D70D41" w:rsidRDefault="00D70D41"/>
        </w:tc>
        <w:tc>
          <w:tcPr>
            <w:tcW w:w="817" w:type="dxa"/>
          </w:tcPr>
          <w:p w:rsidR="00D70D41" w:rsidRDefault="00D70D4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230,15</w:t>
            </w:r>
          </w:p>
        </w:tc>
        <w:tc>
          <w:tcPr>
            <w:tcW w:w="1474" w:type="dxa"/>
          </w:tcPr>
          <w:p w:rsidR="00D70D41" w:rsidRDefault="00D70D41">
            <w:pPr>
              <w:pStyle w:val="ConsPlusNormal"/>
              <w:jc w:val="center"/>
            </w:pPr>
            <w:r>
              <w:t>235,67</w:t>
            </w:r>
          </w:p>
        </w:tc>
        <w:tc>
          <w:tcPr>
            <w:tcW w:w="1361" w:type="dxa"/>
          </w:tcPr>
          <w:p w:rsidR="00D70D41" w:rsidRDefault="00D70D41">
            <w:pPr>
              <w:pStyle w:val="ConsPlusNormal"/>
              <w:jc w:val="center"/>
            </w:pPr>
            <w:r>
              <w:t>1 491,89</w:t>
            </w:r>
          </w:p>
        </w:tc>
        <w:tc>
          <w:tcPr>
            <w:tcW w:w="1587" w:type="dxa"/>
          </w:tcPr>
          <w:p w:rsidR="00D70D41" w:rsidRDefault="00D70D41">
            <w:pPr>
              <w:pStyle w:val="ConsPlusNormal"/>
              <w:jc w:val="center"/>
            </w:pPr>
            <w:r>
              <w:t>1 527,70</w:t>
            </w:r>
          </w:p>
        </w:tc>
      </w:tr>
    </w:tbl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--------------------------------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&lt;*&gt; Льготный тариф на теплоноситель установлен в Приложении 5 к настоящему приказу.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ind w:firstLine="540"/>
        <w:jc w:val="both"/>
      </w:pPr>
      <w:r>
        <w:t>Примечание: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1. Экономически обоснованный тариф на теплоноситель составляет: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01.01.2019 по 30.06.2019 - 1 066,65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01.07.2019 по 31.12.2019 - 3 394,19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01.01.2020 по 30.06.2020 - 2 500,00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01.07.2020 по 31.12.2020 - 2 687,06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01.01.2021 по 30.06.2021 - 1 981,70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01.07.2021 по 31.12.2021 - 2 143,58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01.01.2022 по 30.06.2022 - 2 143,58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01.07.2022 по 31.12.2022 - 2 072,50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01.01.2023 по 30.06.2023 - 2 072,50 руб./куб. м;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01.07.2023 по 31.12.2023 - 2 333,17 руб./куб. м.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2. Экономически обоснованный тариф на тепловую энергию (мощность) составляет: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01.01.2019 по 30.06.2019 - 13 740,00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01.07.2019 по 31.12.2019 - 14 065,72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01.01.2020 по 30.06.2020 - 14 065,72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01.07.2020 по 31.12.2020 - 19 269,92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01.01.2021 по 30.06.2021 - 14 288,57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01.07.2021 по 31.12.2021 - 15 126,48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01.01.2022 по 30.06.2022 - 15 126,48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01.07.2022 по 31.12.2022 - 15 382,97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01.01.2023 по 30.06.2023 - 15 382,97 руб./Гкал;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на период с 01.07.2023 по 31.12.2023 - 16 267,52 руб./Гкал.</w:t>
      </w:r>
    </w:p>
    <w:p w:rsidR="00D70D41" w:rsidRDefault="00D70D41">
      <w:pPr>
        <w:pStyle w:val="ConsPlusNormal"/>
        <w:spacing w:before="220"/>
        <w:ind w:firstLine="540"/>
        <w:jc w:val="both"/>
      </w:pPr>
      <w:r>
        <w:t>3.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jc w:val="both"/>
      </w:pPr>
    </w:p>
    <w:p w:rsidR="00D70D41" w:rsidRDefault="00D70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B867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1"/>
    <w:rsid w:val="00092B2E"/>
    <w:rsid w:val="00D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2020-06-25T11:30:00Z</dcterms:created>
  <dcterms:modified xsi:type="dcterms:W3CDTF">2020-06-25T11:30:00Z</dcterms:modified>
</cp:coreProperties>
</file>