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6C" w:rsidRDefault="0046366C">
      <w:pPr>
        <w:pStyle w:val="ConsPlusTitle"/>
        <w:jc w:val="center"/>
        <w:outlineLvl w:val="0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46366C" w:rsidRDefault="0046366C">
      <w:pPr>
        <w:pStyle w:val="ConsPlusTitle"/>
        <w:jc w:val="center"/>
      </w:pPr>
      <w:r>
        <w:t>НЕНЕЦКОГО АВТОНОМНОГО ОКРУГА</w:t>
      </w:r>
    </w:p>
    <w:p w:rsidR="0046366C" w:rsidRDefault="0046366C">
      <w:pPr>
        <w:pStyle w:val="ConsPlusTitle"/>
        <w:jc w:val="center"/>
      </w:pPr>
    </w:p>
    <w:p w:rsidR="0046366C" w:rsidRDefault="0046366C">
      <w:pPr>
        <w:pStyle w:val="ConsPlusTitle"/>
        <w:jc w:val="center"/>
      </w:pPr>
      <w:r>
        <w:t>ПРИКАЗ</w:t>
      </w:r>
    </w:p>
    <w:p w:rsidR="0046366C" w:rsidRDefault="0046366C">
      <w:pPr>
        <w:pStyle w:val="ConsPlusTitle"/>
        <w:jc w:val="center"/>
      </w:pPr>
      <w:r>
        <w:t>от 13 декабря 2016 г. N 55</w:t>
      </w:r>
    </w:p>
    <w:p w:rsidR="0046366C" w:rsidRDefault="0046366C">
      <w:pPr>
        <w:pStyle w:val="ConsPlusTitle"/>
        <w:jc w:val="center"/>
      </w:pPr>
    </w:p>
    <w:p w:rsidR="0046366C" w:rsidRDefault="0046366C">
      <w:pPr>
        <w:pStyle w:val="ConsPlusTitle"/>
        <w:jc w:val="center"/>
      </w:pPr>
      <w:r>
        <w:t>ОБ УСТАНОВЛЕНИИ ДОЛГОСРОЧНЫХ ПАРАМЕТРОВ РЕГУЛИРОВАНИЯ</w:t>
      </w:r>
    </w:p>
    <w:p w:rsidR="0046366C" w:rsidRDefault="0046366C">
      <w:pPr>
        <w:pStyle w:val="ConsPlusTitle"/>
        <w:jc w:val="center"/>
      </w:pPr>
      <w:r>
        <w:t>И ТАРИФОВ НА ТЕПЛОВУЮ ЭНЕРГИЮ (МОЩНОСТЬ) ДЛЯ ОБЩЕСТВА</w:t>
      </w:r>
    </w:p>
    <w:p w:rsidR="0046366C" w:rsidRDefault="0046366C">
      <w:pPr>
        <w:pStyle w:val="ConsPlusTitle"/>
        <w:jc w:val="center"/>
      </w:pPr>
      <w:r>
        <w:t>С ОГРАНИЧЕННОЙ ОТВЕТСТВЕННОСТЬЮ "АВТОМАТИКА СЕРВИС"</w:t>
      </w:r>
    </w:p>
    <w:p w:rsidR="0046366C" w:rsidRDefault="0046366C">
      <w:pPr>
        <w:pStyle w:val="ConsPlusTitle"/>
        <w:jc w:val="center"/>
      </w:pPr>
      <w:r>
        <w:t>НА ДОЛГОСРОЧНЫЙ ПЕРИОД РЕГУЛИРОВАНИЯ 2017 - 2019 ГОДОВ</w:t>
      </w:r>
    </w:p>
    <w:p w:rsidR="0046366C" w:rsidRDefault="004636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6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66C" w:rsidRDefault="004636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66C" w:rsidRDefault="004636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Управления по государственному регулированию цен (тарифов)</w:t>
            </w:r>
            <w:proofErr w:type="gramEnd"/>
          </w:p>
          <w:p w:rsidR="0046366C" w:rsidRDefault="0046366C">
            <w:pPr>
              <w:pStyle w:val="ConsPlusNormal"/>
              <w:jc w:val="center"/>
            </w:pPr>
            <w:r>
              <w:rPr>
                <w:color w:val="392C69"/>
              </w:rPr>
              <w:t>НАО от 15.12.2017 N 58, от 22.11.2018 N 35)</w:t>
            </w:r>
          </w:p>
        </w:tc>
      </w:tr>
    </w:tbl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ind w:firstLine="540"/>
        <w:jc w:val="both"/>
      </w:pPr>
      <w:proofErr w:type="gramStart"/>
      <w:r>
        <w:t>В соответствии с Федеральным законом от 27.07.2010 N 190-ФЗ "О теплоснабжении", постановлением Правительства Российской Федерации от 22.10.2012 N 1075 "О ценообразовании в сфере теплоснабжения", приказом Федеральной службы по тарифам от 07.06.2013 N 163 "Об утверждении Регламента открытия дел об установлении регулируемых цен (тарифов) и отмене регулирования тарифов в сфере теплоснабжения", законом Ненецкого автономного округа от 09.07.2014 N 69-ОЗ "О льготах</w:t>
      </w:r>
      <w:proofErr w:type="gramEnd"/>
      <w:r>
        <w:t xml:space="preserve"> по оплате тепловой энергии (мощности), теплоносителя на территории Ненецкого автономного округа", Положением об 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 17.08.2012 N 233-п, приказываю:</w:t>
      </w:r>
    </w:p>
    <w:p w:rsidR="0046366C" w:rsidRDefault="0046366C">
      <w:pPr>
        <w:pStyle w:val="ConsPlusNormal"/>
        <w:spacing w:before="220"/>
        <w:ind w:firstLine="540"/>
        <w:jc w:val="both"/>
      </w:pPr>
      <w:r>
        <w:t>1. Установить долгосрочные параметры регулирования для общества с ограниченной ответственностью "Автоматика Сервис" (далее - ООО "Автоматика Сервис") на долгосрочный период регулирования 2017 - 2019 годов для формирования тарифов на тепловую энергию (мощность), поставляемую потребителям, с использованием метода индексации согласно Приложению 1 к настоящему приказу.</w:t>
      </w:r>
    </w:p>
    <w:p w:rsidR="0046366C" w:rsidRDefault="004636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 и ввести</w:t>
      </w:r>
      <w:proofErr w:type="gramEnd"/>
      <w:r>
        <w:t xml:space="preserve"> в действие на период с 1 января 2017 года по 31 декабря 2019 года с календарной разбивкой:</w:t>
      </w:r>
    </w:p>
    <w:p w:rsidR="0046366C" w:rsidRDefault="0046366C">
      <w:pPr>
        <w:pStyle w:val="ConsPlusNormal"/>
        <w:spacing w:before="220"/>
        <w:ind w:firstLine="540"/>
        <w:jc w:val="both"/>
      </w:pPr>
      <w:r>
        <w:t>1) тарифы на тепловую энергию (мощность), поставляемую потребителям ООО "Автоматика Сервис", согласно Приложению 2 к настоящему приказу;</w:t>
      </w:r>
    </w:p>
    <w:p w:rsidR="0046366C" w:rsidRDefault="0046366C">
      <w:pPr>
        <w:pStyle w:val="ConsPlusNormal"/>
        <w:spacing w:before="220"/>
        <w:ind w:firstLine="540"/>
        <w:jc w:val="both"/>
      </w:pPr>
      <w:r>
        <w:t>2) льготные тарифы на тепловую энергию (мощность), поставляемую ООО "Автоматика Сервис" населению и потребителям, приравненным к населению, согласно Приложению 3 к настоящему приказу.</w:t>
      </w:r>
    </w:p>
    <w:p w:rsidR="0046366C" w:rsidRDefault="0046366C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2017 года.</w:t>
      </w: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jc w:val="right"/>
      </w:pPr>
      <w:r>
        <w:t>Начальник Управления</w:t>
      </w:r>
    </w:p>
    <w:p w:rsidR="0046366C" w:rsidRDefault="0046366C">
      <w:pPr>
        <w:pStyle w:val="ConsPlusNormal"/>
        <w:jc w:val="right"/>
      </w:pPr>
      <w:r>
        <w:t>С.А.АНДРИЯНОВ</w:t>
      </w: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jc w:val="right"/>
        <w:outlineLvl w:val="0"/>
      </w:pPr>
      <w:r>
        <w:t>Приложение 1</w:t>
      </w:r>
    </w:p>
    <w:p w:rsidR="0046366C" w:rsidRDefault="0046366C">
      <w:pPr>
        <w:pStyle w:val="ConsPlusNormal"/>
        <w:jc w:val="right"/>
      </w:pPr>
      <w:r>
        <w:t>к приказу Управления</w:t>
      </w:r>
    </w:p>
    <w:p w:rsidR="0046366C" w:rsidRDefault="0046366C">
      <w:pPr>
        <w:pStyle w:val="ConsPlusNormal"/>
        <w:jc w:val="right"/>
      </w:pPr>
      <w:r>
        <w:t>по государственному</w:t>
      </w:r>
    </w:p>
    <w:p w:rsidR="0046366C" w:rsidRDefault="0046366C">
      <w:pPr>
        <w:pStyle w:val="ConsPlusNormal"/>
        <w:jc w:val="right"/>
      </w:pPr>
      <w:r>
        <w:t>регулированию цен (тарифов)</w:t>
      </w:r>
    </w:p>
    <w:p w:rsidR="0046366C" w:rsidRDefault="0046366C">
      <w:pPr>
        <w:pStyle w:val="ConsPlusNormal"/>
        <w:jc w:val="right"/>
      </w:pPr>
      <w:r>
        <w:lastRenderedPageBreak/>
        <w:t>Ненецкого автономного округа</w:t>
      </w:r>
    </w:p>
    <w:p w:rsidR="0046366C" w:rsidRDefault="0046366C">
      <w:pPr>
        <w:pStyle w:val="ConsPlusNormal"/>
        <w:jc w:val="right"/>
      </w:pPr>
      <w:r>
        <w:t>от 13.12.2016 N 55</w:t>
      </w:r>
    </w:p>
    <w:p w:rsidR="0046366C" w:rsidRDefault="0046366C">
      <w:pPr>
        <w:pStyle w:val="ConsPlusNormal"/>
        <w:jc w:val="right"/>
      </w:pPr>
      <w:r>
        <w:t xml:space="preserve">"Об установлении </w:t>
      </w:r>
      <w:proofErr w:type="gramStart"/>
      <w:r>
        <w:t>долгосрочных</w:t>
      </w:r>
      <w:proofErr w:type="gramEnd"/>
    </w:p>
    <w:p w:rsidR="0046366C" w:rsidRDefault="0046366C">
      <w:pPr>
        <w:pStyle w:val="ConsPlusNormal"/>
        <w:jc w:val="right"/>
      </w:pPr>
      <w:r>
        <w:t>параметров регулирования и тарифов</w:t>
      </w:r>
    </w:p>
    <w:p w:rsidR="0046366C" w:rsidRDefault="0046366C">
      <w:pPr>
        <w:pStyle w:val="ConsPlusNormal"/>
        <w:jc w:val="right"/>
      </w:pPr>
      <w:r>
        <w:t>на тепловую энергию для общества</w:t>
      </w:r>
    </w:p>
    <w:p w:rsidR="0046366C" w:rsidRDefault="0046366C">
      <w:pPr>
        <w:pStyle w:val="ConsPlusNormal"/>
        <w:jc w:val="right"/>
      </w:pPr>
      <w:r>
        <w:t>с ограниченной ответственностью</w:t>
      </w:r>
    </w:p>
    <w:p w:rsidR="0046366C" w:rsidRDefault="0046366C">
      <w:pPr>
        <w:pStyle w:val="ConsPlusNormal"/>
        <w:jc w:val="right"/>
      </w:pPr>
      <w:r>
        <w:t xml:space="preserve">"Автоматика Сервис" </w:t>
      </w:r>
      <w:proofErr w:type="gramStart"/>
      <w:r>
        <w:t>на</w:t>
      </w:r>
      <w:proofErr w:type="gramEnd"/>
      <w:r>
        <w:t xml:space="preserve"> долгосрочный</w:t>
      </w:r>
    </w:p>
    <w:p w:rsidR="0046366C" w:rsidRDefault="0046366C">
      <w:pPr>
        <w:pStyle w:val="ConsPlusNormal"/>
        <w:jc w:val="right"/>
      </w:pPr>
      <w:r>
        <w:t>период регулирования</w:t>
      </w:r>
    </w:p>
    <w:p w:rsidR="0046366C" w:rsidRDefault="0046366C">
      <w:pPr>
        <w:pStyle w:val="ConsPlusNormal"/>
        <w:jc w:val="right"/>
      </w:pPr>
      <w:r>
        <w:t>2017 - 2019 годов"</w:t>
      </w: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Title"/>
        <w:jc w:val="center"/>
      </w:pPr>
      <w:bookmarkStart w:id="1" w:name="P43"/>
      <w:bookmarkEnd w:id="1"/>
      <w:r>
        <w:t>ДОЛГОСРОЧНЫЕ ПАРАМЕТРЫ</w:t>
      </w:r>
    </w:p>
    <w:p w:rsidR="0046366C" w:rsidRDefault="0046366C">
      <w:pPr>
        <w:pStyle w:val="ConsPlusTitle"/>
        <w:jc w:val="center"/>
      </w:pPr>
      <w:r>
        <w:t>РЕГУЛИРОВАНИЯ ДЛЯ ОБЩЕСТВА С ОГРАНИЧЕННОЙ ОТВЕТСТВЕННОСТЬЮ</w:t>
      </w:r>
    </w:p>
    <w:p w:rsidR="0046366C" w:rsidRDefault="0046366C">
      <w:pPr>
        <w:pStyle w:val="ConsPlusTitle"/>
        <w:jc w:val="center"/>
      </w:pPr>
      <w:r>
        <w:t>"АВТОМАТИКА СЕРВИС" НА ДОЛГОСРОЧНЫЙ ПЕРИОД РЕГУЛИРОВАНИЯ</w:t>
      </w:r>
    </w:p>
    <w:p w:rsidR="0046366C" w:rsidRDefault="0046366C">
      <w:pPr>
        <w:pStyle w:val="ConsPlusTitle"/>
        <w:jc w:val="center"/>
      </w:pPr>
      <w:r>
        <w:t xml:space="preserve">2017 - 2019 ГОДОВ ДЛЯ ФОРМИРОВАНИЯ ТАРИФОВ НА </w:t>
      </w:r>
      <w:proofErr w:type="gramStart"/>
      <w:r>
        <w:t>ТЕПЛОВУЮ</w:t>
      </w:r>
      <w:proofErr w:type="gramEnd"/>
    </w:p>
    <w:p w:rsidR="0046366C" w:rsidRDefault="0046366C">
      <w:pPr>
        <w:pStyle w:val="ConsPlusTitle"/>
        <w:jc w:val="center"/>
      </w:pPr>
      <w:r>
        <w:t>ЭНЕРГИЮ (МОЩНОСТЬ), ПОСТАВЛЯЕМУЮ ПОТРЕБИТЕЛЯМ,</w:t>
      </w:r>
    </w:p>
    <w:p w:rsidR="0046366C" w:rsidRDefault="0046366C">
      <w:pPr>
        <w:pStyle w:val="ConsPlusTitle"/>
        <w:jc w:val="center"/>
      </w:pPr>
      <w:r>
        <w:t>С ИСПОЛЬЗОВАНИЕМ МЕТОДА ИНДЕКСАЦИИ</w:t>
      </w:r>
    </w:p>
    <w:p w:rsidR="0046366C" w:rsidRDefault="0046366C">
      <w:pPr>
        <w:pStyle w:val="ConsPlusNormal"/>
        <w:jc w:val="both"/>
      </w:pPr>
    </w:p>
    <w:p w:rsidR="0046366C" w:rsidRDefault="0046366C">
      <w:pPr>
        <w:sectPr w:rsidR="0046366C" w:rsidSect="00B008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1928"/>
        <w:gridCol w:w="1757"/>
        <w:gridCol w:w="1587"/>
        <w:gridCol w:w="1701"/>
        <w:gridCol w:w="1701"/>
        <w:gridCol w:w="1542"/>
      </w:tblGrid>
      <w:tr w:rsidR="0046366C">
        <w:tc>
          <w:tcPr>
            <w:tcW w:w="2438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r>
              <w:lastRenderedPageBreak/>
              <w:t>Наименование регулируемой организации</w:t>
            </w:r>
          </w:p>
        </w:tc>
        <w:tc>
          <w:tcPr>
            <w:tcW w:w="794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928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757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587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r>
              <w:t>Нормативный уровень прибыли, %</w:t>
            </w:r>
          </w:p>
        </w:tc>
        <w:tc>
          <w:tcPr>
            <w:tcW w:w="3402" w:type="dxa"/>
            <w:gridSpan w:val="2"/>
          </w:tcPr>
          <w:p w:rsidR="0046366C" w:rsidRDefault="0046366C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1542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r>
              <w:t>Динамика изменения расходов на топливо &lt;*&gt;</w:t>
            </w:r>
          </w:p>
        </w:tc>
      </w:tr>
      <w:tr w:rsidR="0046366C">
        <w:tc>
          <w:tcPr>
            <w:tcW w:w="2438" w:type="dxa"/>
            <w:vMerge/>
          </w:tcPr>
          <w:p w:rsidR="0046366C" w:rsidRDefault="0046366C"/>
        </w:tc>
        <w:tc>
          <w:tcPr>
            <w:tcW w:w="794" w:type="dxa"/>
            <w:vMerge/>
          </w:tcPr>
          <w:p w:rsidR="0046366C" w:rsidRDefault="0046366C"/>
        </w:tc>
        <w:tc>
          <w:tcPr>
            <w:tcW w:w="1928" w:type="dxa"/>
            <w:vMerge/>
          </w:tcPr>
          <w:p w:rsidR="0046366C" w:rsidRDefault="0046366C"/>
        </w:tc>
        <w:tc>
          <w:tcPr>
            <w:tcW w:w="1757" w:type="dxa"/>
            <w:vMerge/>
          </w:tcPr>
          <w:p w:rsidR="0046366C" w:rsidRDefault="0046366C"/>
        </w:tc>
        <w:tc>
          <w:tcPr>
            <w:tcW w:w="1587" w:type="dxa"/>
            <w:vMerge/>
          </w:tcPr>
          <w:p w:rsidR="0046366C" w:rsidRDefault="0046366C"/>
        </w:tc>
        <w:tc>
          <w:tcPr>
            <w:tcW w:w="1701" w:type="dxa"/>
          </w:tcPr>
          <w:p w:rsidR="0046366C" w:rsidRDefault="0046366C">
            <w:pPr>
              <w:pStyle w:val="ConsPlusNormal"/>
              <w:jc w:val="center"/>
            </w:pPr>
            <w:r>
              <w:t xml:space="preserve">удельный расход топлива, 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1701" w:type="dxa"/>
          </w:tcPr>
          <w:p w:rsidR="0046366C" w:rsidRDefault="0046366C">
            <w:pPr>
              <w:pStyle w:val="ConsPlusNormal"/>
              <w:jc w:val="center"/>
            </w:pPr>
            <w:r>
              <w:t>технологические потери тепловой энергии, Гкал</w:t>
            </w:r>
          </w:p>
        </w:tc>
        <w:tc>
          <w:tcPr>
            <w:tcW w:w="1542" w:type="dxa"/>
            <w:vMerge/>
          </w:tcPr>
          <w:p w:rsidR="0046366C" w:rsidRDefault="0046366C"/>
        </w:tc>
      </w:tr>
      <w:tr w:rsidR="0046366C">
        <w:tc>
          <w:tcPr>
            <w:tcW w:w="2438" w:type="dxa"/>
            <w:vMerge w:val="restart"/>
          </w:tcPr>
          <w:p w:rsidR="0046366C" w:rsidRDefault="0046366C">
            <w:pPr>
              <w:pStyle w:val="ConsPlusNormal"/>
            </w:pPr>
            <w:r>
              <w:t>Общество с ограниченной ответственностью "Автоматика Сервис"</w:t>
            </w:r>
          </w:p>
        </w:tc>
        <w:tc>
          <w:tcPr>
            <w:tcW w:w="794" w:type="dxa"/>
          </w:tcPr>
          <w:p w:rsidR="0046366C" w:rsidRDefault="004636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28" w:type="dxa"/>
          </w:tcPr>
          <w:p w:rsidR="0046366C" w:rsidRDefault="0046366C">
            <w:pPr>
              <w:pStyle w:val="ConsPlusNormal"/>
              <w:jc w:val="center"/>
            </w:pPr>
            <w:r>
              <w:t>7 229,0</w:t>
            </w:r>
          </w:p>
        </w:tc>
        <w:tc>
          <w:tcPr>
            <w:tcW w:w="1757" w:type="dxa"/>
          </w:tcPr>
          <w:p w:rsidR="0046366C" w:rsidRDefault="004636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6366C" w:rsidRDefault="0046366C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701" w:type="dxa"/>
          </w:tcPr>
          <w:p w:rsidR="0046366C" w:rsidRDefault="0046366C">
            <w:pPr>
              <w:pStyle w:val="ConsPlusNormal"/>
              <w:jc w:val="center"/>
            </w:pPr>
            <w:r>
              <w:t>160,6</w:t>
            </w:r>
          </w:p>
        </w:tc>
        <w:tc>
          <w:tcPr>
            <w:tcW w:w="1701" w:type="dxa"/>
          </w:tcPr>
          <w:p w:rsidR="0046366C" w:rsidRDefault="0046366C">
            <w:pPr>
              <w:pStyle w:val="ConsPlusNormal"/>
              <w:jc w:val="center"/>
            </w:pPr>
            <w:r>
              <w:t>508,4</w:t>
            </w:r>
          </w:p>
        </w:tc>
        <w:tc>
          <w:tcPr>
            <w:tcW w:w="1542" w:type="dxa"/>
          </w:tcPr>
          <w:p w:rsidR="0046366C" w:rsidRDefault="0046366C">
            <w:pPr>
              <w:pStyle w:val="ConsPlusNormal"/>
              <w:jc w:val="center"/>
            </w:pPr>
            <w:r>
              <w:t>-</w:t>
            </w:r>
          </w:p>
        </w:tc>
      </w:tr>
      <w:tr w:rsidR="0046366C">
        <w:tc>
          <w:tcPr>
            <w:tcW w:w="2438" w:type="dxa"/>
            <w:vMerge/>
          </w:tcPr>
          <w:p w:rsidR="0046366C" w:rsidRDefault="0046366C"/>
        </w:tc>
        <w:tc>
          <w:tcPr>
            <w:tcW w:w="794" w:type="dxa"/>
          </w:tcPr>
          <w:p w:rsidR="0046366C" w:rsidRDefault="004636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28" w:type="dxa"/>
          </w:tcPr>
          <w:p w:rsidR="0046366C" w:rsidRDefault="004636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6366C" w:rsidRDefault="0046366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46366C" w:rsidRDefault="0046366C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701" w:type="dxa"/>
          </w:tcPr>
          <w:p w:rsidR="0046366C" w:rsidRDefault="0046366C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1701" w:type="dxa"/>
          </w:tcPr>
          <w:p w:rsidR="0046366C" w:rsidRDefault="0046366C">
            <w:pPr>
              <w:pStyle w:val="ConsPlusNormal"/>
              <w:jc w:val="center"/>
            </w:pPr>
            <w:r>
              <w:t>508,4</w:t>
            </w:r>
          </w:p>
        </w:tc>
        <w:tc>
          <w:tcPr>
            <w:tcW w:w="1542" w:type="dxa"/>
          </w:tcPr>
          <w:p w:rsidR="0046366C" w:rsidRDefault="0046366C">
            <w:pPr>
              <w:pStyle w:val="ConsPlusNormal"/>
              <w:jc w:val="center"/>
            </w:pPr>
            <w:r>
              <w:t>-</w:t>
            </w:r>
          </w:p>
        </w:tc>
      </w:tr>
      <w:tr w:rsidR="0046366C">
        <w:tc>
          <w:tcPr>
            <w:tcW w:w="2438" w:type="dxa"/>
            <w:vMerge/>
          </w:tcPr>
          <w:p w:rsidR="0046366C" w:rsidRDefault="0046366C"/>
        </w:tc>
        <w:tc>
          <w:tcPr>
            <w:tcW w:w="794" w:type="dxa"/>
          </w:tcPr>
          <w:p w:rsidR="0046366C" w:rsidRDefault="0046366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928" w:type="dxa"/>
          </w:tcPr>
          <w:p w:rsidR="0046366C" w:rsidRDefault="004636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6366C" w:rsidRDefault="0046366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46366C" w:rsidRDefault="0046366C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701" w:type="dxa"/>
          </w:tcPr>
          <w:p w:rsidR="0046366C" w:rsidRDefault="0046366C">
            <w:pPr>
              <w:pStyle w:val="ConsPlusNormal"/>
              <w:jc w:val="center"/>
            </w:pPr>
            <w:r>
              <w:t>160,4</w:t>
            </w:r>
          </w:p>
        </w:tc>
        <w:tc>
          <w:tcPr>
            <w:tcW w:w="1701" w:type="dxa"/>
          </w:tcPr>
          <w:p w:rsidR="0046366C" w:rsidRDefault="0046366C">
            <w:pPr>
              <w:pStyle w:val="ConsPlusNormal"/>
              <w:jc w:val="center"/>
            </w:pPr>
            <w:r>
              <w:t>508,4</w:t>
            </w:r>
          </w:p>
        </w:tc>
        <w:tc>
          <w:tcPr>
            <w:tcW w:w="1542" w:type="dxa"/>
          </w:tcPr>
          <w:p w:rsidR="0046366C" w:rsidRDefault="0046366C">
            <w:pPr>
              <w:pStyle w:val="ConsPlusNormal"/>
              <w:jc w:val="center"/>
            </w:pPr>
            <w:r>
              <w:t>-</w:t>
            </w:r>
          </w:p>
        </w:tc>
      </w:tr>
    </w:tbl>
    <w:p w:rsidR="0046366C" w:rsidRDefault="0046366C">
      <w:pPr>
        <w:sectPr w:rsidR="004636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ind w:firstLine="540"/>
        <w:jc w:val="both"/>
      </w:pPr>
      <w:r>
        <w:t>--------------------------------</w:t>
      </w:r>
    </w:p>
    <w:p w:rsidR="0046366C" w:rsidRDefault="0046366C">
      <w:pPr>
        <w:pStyle w:val="ConsPlusNormal"/>
        <w:spacing w:before="220"/>
        <w:ind w:firstLine="540"/>
        <w:jc w:val="both"/>
      </w:pPr>
      <w:bookmarkStart w:id="2" w:name="P83"/>
      <w:bookmarkEnd w:id="2"/>
      <w:r>
        <w:t>&lt;*&gt; Понижающий коэффициент на переходный период в соответствии с Правилами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энергии, утвержденными постановлением Правительства Российской Федерации от 22.10.2012 N 1075, не применяется.</w:t>
      </w: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jc w:val="right"/>
        <w:outlineLvl w:val="0"/>
      </w:pPr>
      <w:r>
        <w:t>Приложение 2</w:t>
      </w:r>
    </w:p>
    <w:p w:rsidR="0046366C" w:rsidRDefault="0046366C">
      <w:pPr>
        <w:pStyle w:val="ConsPlusNormal"/>
        <w:jc w:val="right"/>
      </w:pPr>
      <w:r>
        <w:t>к приказу Управления</w:t>
      </w:r>
    </w:p>
    <w:p w:rsidR="0046366C" w:rsidRDefault="0046366C">
      <w:pPr>
        <w:pStyle w:val="ConsPlusNormal"/>
        <w:jc w:val="right"/>
      </w:pPr>
      <w:r>
        <w:t>по государственному</w:t>
      </w:r>
    </w:p>
    <w:p w:rsidR="0046366C" w:rsidRDefault="0046366C">
      <w:pPr>
        <w:pStyle w:val="ConsPlusNormal"/>
        <w:jc w:val="right"/>
      </w:pPr>
      <w:r>
        <w:t>регулированию цен (тарифов)</w:t>
      </w:r>
    </w:p>
    <w:p w:rsidR="0046366C" w:rsidRDefault="0046366C">
      <w:pPr>
        <w:pStyle w:val="ConsPlusNormal"/>
        <w:jc w:val="right"/>
      </w:pPr>
      <w:r>
        <w:t>Ненецкого автономного округа</w:t>
      </w:r>
    </w:p>
    <w:p w:rsidR="0046366C" w:rsidRDefault="0046366C">
      <w:pPr>
        <w:pStyle w:val="ConsPlusNormal"/>
        <w:jc w:val="right"/>
      </w:pPr>
      <w:r>
        <w:t>от 13.12.2016 N 55</w:t>
      </w:r>
    </w:p>
    <w:p w:rsidR="0046366C" w:rsidRDefault="0046366C">
      <w:pPr>
        <w:pStyle w:val="ConsPlusNormal"/>
        <w:jc w:val="right"/>
      </w:pPr>
      <w:r>
        <w:t xml:space="preserve">"Об установлении </w:t>
      </w:r>
      <w:proofErr w:type="gramStart"/>
      <w:r>
        <w:t>долгосрочных</w:t>
      </w:r>
      <w:proofErr w:type="gramEnd"/>
    </w:p>
    <w:p w:rsidR="0046366C" w:rsidRDefault="0046366C">
      <w:pPr>
        <w:pStyle w:val="ConsPlusNormal"/>
        <w:jc w:val="right"/>
      </w:pPr>
      <w:r>
        <w:t>параметров регулирования и тарифов</w:t>
      </w:r>
    </w:p>
    <w:p w:rsidR="0046366C" w:rsidRDefault="0046366C">
      <w:pPr>
        <w:pStyle w:val="ConsPlusNormal"/>
        <w:jc w:val="right"/>
      </w:pPr>
      <w:r>
        <w:t>на тепловую энергию для общества</w:t>
      </w:r>
    </w:p>
    <w:p w:rsidR="0046366C" w:rsidRDefault="0046366C">
      <w:pPr>
        <w:pStyle w:val="ConsPlusNormal"/>
        <w:jc w:val="right"/>
      </w:pPr>
      <w:r>
        <w:t>с ограниченной ответственностью</w:t>
      </w:r>
    </w:p>
    <w:p w:rsidR="0046366C" w:rsidRDefault="0046366C">
      <w:pPr>
        <w:pStyle w:val="ConsPlusNormal"/>
        <w:jc w:val="right"/>
      </w:pPr>
      <w:r>
        <w:t xml:space="preserve">"Автоматика Сервис" </w:t>
      </w:r>
      <w:proofErr w:type="gramStart"/>
      <w:r>
        <w:t>на</w:t>
      </w:r>
      <w:proofErr w:type="gramEnd"/>
      <w:r>
        <w:t xml:space="preserve"> долгосрочный</w:t>
      </w:r>
    </w:p>
    <w:p w:rsidR="0046366C" w:rsidRDefault="0046366C">
      <w:pPr>
        <w:pStyle w:val="ConsPlusNormal"/>
        <w:jc w:val="right"/>
      </w:pPr>
      <w:r>
        <w:t>период регулирования</w:t>
      </w:r>
    </w:p>
    <w:p w:rsidR="0046366C" w:rsidRDefault="0046366C">
      <w:pPr>
        <w:pStyle w:val="ConsPlusNormal"/>
        <w:jc w:val="right"/>
      </w:pPr>
      <w:r>
        <w:t>2017 - 2019 годов"</w:t>
      </w: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Title"/>
        <w:jc w:val="center"/>
      </w:pPr>
      <w:bookmarkStart w:id="3" w:name="P103"/>
      <w:bookmarkEnd w:id="3"/>
      <w:r>
        <w:t>ТАРИФЫ</w:t>
      </w:r>
    </w:p>
    <w:p w:rsidR="0046366C" w:rsidRDefault="0046366C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46366C" w:rsidRDefault="004636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6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66C" w:rsidRDefault="004636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66C" w:rsidRDefault="004636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46366C" w:rsidRDefault="0046366C">
            <w:pPr>
              <w:pStyle w:val="ConsPlusNormal"/>
              <w:jc w:val="center"/>
            </w:pPr>
            <w:r>
              <w:rPr>
                <w:color w:val="392C69"/>
              </w:rPr>
              <w:t>НАО от 22.11.2018 N 35)</w:t>
            </w:r>
          </w:p>
        </w:tc>
      </w:tr>
    </w:tbl>
    <w:p w:rsidR="0046366C" w:rsidRDefault="004636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587"/>
        <w:gridCol w:w="851"/>
        <w:gridCol w:w="1474"/>
        <w:gridCol w:w="1531"/>
      </w:tblGrid>
      <w:tr w:rsidR="0046366C">
        <w:tc>
          <w:tcPr>
            <w:tcW w:w="567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587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851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05" w:type="dxa"/>
            <w:gridSpan w:val="2"/>
          </w:tcPr>
          <w:p w:rsidR="0046366C" w:rsidRDefault="0046366C">
            <w:pPr>
              <w:pStyle w:val="ConsPlusNormal"/>
              <w:jc w:val="center"/>
            </w:pPr>
            <w:r>
              <w:t>Вода</w:t>
            </w:r>
          </w:p>
        </w:tc>
      </w:tr>
      <w:tr w:rsidR="0046366C">
        <w:tc>
          <w:tcPr>
            <w:tcW w:w="567" w:type="dxa"/>
            <w:vMerge/>
          </w:tcPr>
          <w:p w:rsidR="0046366C" w:rsidRDefault="0046366C"/>
        </w:tc>
        <w:tc>
          <w:tcPr>
            <w:tcW w:w="1814" w:type="dxa"/>
            <w:vMerge/>
          </w:tcPr>
          <w:p w:rsidR="0046366C" w:rsidRDefault="0046366C"/>
        </w:tc>
        <w:tc>
          <w:tcPr>
            <w:tcW w:w="1587" w:type="dxa"/>
            <w:vMerge/>
          </w:tcPr>
          <w:p w:rsidR="0046366C" w:rsidRDefault="0046366C"/>
        </w:tc>
        <w:tc>
          <w:tcPr>
            <w:tcW w:w="851" w:type="dxa"/>
            <w:vMerge/>
          </w:tcPr>
          <w:p w:rsidR="0046366C" w:rsidRDefault="0046366C"/>
        </w:tc>
        <w:tc>
          <w:tcPr>
            <w:tcW w:w="1474" w:type="dxa"/>
          </w:tcPr>
          <w:p w:rsidR="0046366C" w:rsidRDefault="0046366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531" w:type="dxa"/>
          </w:tcPr>
          <w:p w:rsidR="0046366C" w:rsidRDefault="0046366C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46366C">
        <w:tc>
          <w:tcPr>
            <w:tcW w:w="567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Merge w:val="restart"/>
          </w:tcPr>
          <w:p w:rsidR="0046366C" w:rsidRDefault="0046366C">
            <w:pPr>
              <w:pStyle w:val="ConsPlusNormal"/>
            </w:pPr>
            <w:r>
              <w:t>Общество с ограниченной ответственностью "Автоматика Сервис"</w:t>
            </w:r>
          </w:p>
        </w:tc>
        <w:tc>
          <w:tcPr>
            <w:tcW w:w="5443" w:type="dxa"/>
            <w:gridSpan w:val="4"/>
          </w:tcPr>
          <w:p w:rsidR="0046366C" w:rsidRDefault="0046366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46366C">
        <w:tc>
          <w:tcPr>
            <w:tcW w:w="567" w:type="dxa"/>
            <w:vMerge/>
          </w:tcPr>
          <w:p w:rsidR="0046366C" w:rsidRDefault="0046366C"/>
        </w:tc>
        <w:tc>
          <w:tcPr>
            <w:tcW w:w="1814" w:type="dxa"/>
            <w:vMerge/>
          </w:tcPr>
          <w:p w:rsidR="0046366C" w:rsidRDefault="0046366C"/>
        </w:tc>
        <w:tc>
          <w:tcPr>
            <w:tcW w:w="1587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51" w:type="dxa"/>
          </w:tcPr>
          <w:p w:rsidR="0046366C" w:rsidRDefault="004636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6366C" w:rsidRDefault="0046366C">
            <w:pPr>
              <w:pStyle w:val="ConsPlusNormal"/>
              <w:jc w:val="center"/>
            </w:pPr>
            <w:r>
              <w:t>1 295,78</w:t>
            </w:r>
          </w:p>
        </w:tc>
        <w:tc>
          <w:tcPr>
            <w:tcW w:w="1531" w:type="dxa"/>
          </w:tcPr>
          <w:p w:rsidR="0046366C" w:rsidRDefault="0046366C">
            <w:pPr>
              <w:pStyle w:val="ConsPlusNormal"/>
              <w:jc w:val="center"/>
            </w:pPr>
            <w:r>
              <w:t>1 822,63</w:t>
            </w:r>
          </w:p>
        </w:tc>
      </w:tr>
      <w:tr w:rsidR="0046366C">
        <w:tc>
          <w:tcPr>
            <w:tcW w:w="567" w:type="dxa"/>
            <w:vMerge/>
          </w:tcPr>
          <w:p w:rsidR="0046366C" w:rsidRDefault="0046366C"/>
        </w:tc>
        <w:tc>
          <w:tcPr>
            <w:tcW w:w="1814" w:type="dxa"/>
            <w:vMerge/>
          </w:tcPr>
          <w:p w:rsidR="0046366C" w:rsidRDefault="0046366C"/>
        </w:tc>
        <w:tc>
          <w:tcPr>
            <w:tcW w:w="1587" w:type="dxa"/>
            <w:vMerge/>
          </w:tcPr>
          <w:p w:rsidR="0046366C" w:rsidRDefault="0046366C"/>
        </w:tc>
        <w:tc>
          <w:tcPr>
            <w:tcW w:w="851" w:type="dxa"/>
          </w:tcPr>
          <w:p w:rsidR="0046366C" w:rsidRDefault="004636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46366C" w:rsidRDefault="0046366C">
            <w:pPr>
              <w:pStyle w:val="ConsPlusNormal"/>
              <w:jc w:val="center"/>
            </w:pPr>
            <w:r>
              <w:t>1 574,00</w:t>
            </w:r>
          </w:p>
        </w:tc>
        <w:tc>
          <w:tcPr>
            <w:tcW w:w="1531" w:type="dxa"/>
          </w:tcPr>
          <w:p w:rsidR="0046366C" w:rsidRDefault="0046366C">
            <w:pPr>
              <w:pStyle w:val="ConsPlusNormal"/>
              <w:jc w:val="center"/>
            </w:pPr>
            <w:r>
              <w:t>1 586,74</w:t>
            </w:r>
          </w:p>
        </w:tc>
      </w:tr>
      <w:tr w:rsidR="0046366C">
        <w:tc>
          <w:tcPr>
            <w:tcW w:w="567" w:type="dxa"/>
            <w:vMerge/>
          </w:tcPr>
          <w:p w:rsidR="0046366C" w:rsidRDefault="0046366C"/>
        </w:tc>
        <w:tc>
          <w:tcPr>
            <w:tcW w:w="1814" w:type="dxa"/>
            <w:vMerge/>
          </w:tcPr>
          <w:p w:rsidR="0046366C" w:rsidRDefault="0046366C"/>
        </w:tc>
        <w:tc>
          <w:tcPr>
            <w:tcW w:w="1587" w:type="dxa"/>
            <w:vMerge/>
          </w:tcPr>
          <w:p w:rsidR="0046366C" w:rsidRDefault="0046366C"/>
        </w:tc>
        <w:tc>
          <w:tcPr>
            <w:tcW w:w="851" w:type="dxa"/>
          </w:tcPr>
          <w:p w:rsidR="0046366C" w:rsidRDefault="0046366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46366C" w:rsidRDefault="0046366C">
            <w:pPr>
              <w:pStyle w:val="ConsPlusNormal"/>
              <w:jc w:val="center"/>
            </w:pPr>
            <w:r>
              <w:t>1 545,00</w:t>
            </w:r>
          </w:p>
        </w:tc>
        <w:tc>
          <w:tcPr>
            <w:tcW w:w="1531" w:type="dxa"/>
          </w:tcPr>
          <w:p w:rsidR="0046366C" w:rsidRDefault="0046366C">
            <w:pPr>
              <w:pStyle w:val="ConsPlusNormal"/>
              <w:jc w:val="center"/>
            </w:pPr>
            <w:r>
              <w:t>1 606,31</w:t>
            </w:r>
          </w:p>
        </w:tc>
      </w:tr>
      <w:tr w:rsidR="0046366C">
        <w:tc>
          <w:tcPr>
            <w:tcW w:w="567" w:type="dxa"/>
            <w:vMerge/>
          </w:tcPr>
          <w:p w:rsidR="0046366C" w:rsidRDefault="0046366C"/>
        </w:tc>
        <w:tc>
          <w:tcPr>
            <w:tcW w:w="1814" w:type="dxa"/>
            <w:vMerge/>
          </w:tcPr>
          <w:p w:rsidR="0046366C" w:rsidRDefault="0046366C"/>
        </w:tc>
        <w:tc>
          <w:tcPr>
            <w:tcW w:w="5443" w:type="dxa"/>
            <w:gridSpan w:val="4"/>
          </w:tcPr>
          <w:p w:rsidR="0046366C" w:rsidRDefault="0046366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46366C">
        <w:tc>
          <w:tcPr>
            <w:tcW w:w="567" w:type="dxa"/>
            <w:vMerge/>
          </w:tcPr>
          <w:p w:rsidR="0046366C" w:rsidRDefault="0046366C"/>
        </w:tc>
        <w:tc>
          <w:tcPr>
            <w:tcW w:w="1814" w:type="dxa"/>
            <w:vMerge/>
          </w:tcPr>
          <w:p w:rsidR="0046366C" w:rsidRDefault="0046366C"/>
        </w:tc>
        <w:tc>
          <w:tcPr>
            <w:tcW w:w="1587" w:type="dxa"/>
          </w:tcPr>
          <w:p w:rsidR="0046366C" w:rsidRDefault="0046366C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51" w:type="dxa"/>
          </w:tcPr>
          <w:p w:rsidR="0046366C" w:rsidRDefault="004636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6366C" w:rsidRDefault="0046366C">
            <w:pPr>
              <w:pStyle w:val="ConsPlusNormal"/>
              <w:jc w:val="center"/>
            </w:pPr>
            <w:r>
              <w:t>1 529,02</w:t>
            </w:r>
          </w:p>
        </w:tc>
        <w:tc>
          <w:tcPr>
            <w:tcW w:w="1531" w:type="dxa"/>
          </w:tcPr>
          <w:p w:rsidR="0046366C" w:rsidRDefault="0046366C">
            <w:pPr>
              <w:pStyle w:val="ConsPlusNormal"/>
              <w:jc w:val="center"/>
            </w:pPr>
            <w:r>
              <w:t>-</w:t>
            </w:r>
          </w:p>
        </w:tc>
      </w:tr>
    </w:tbl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ind w:firstLine="540"/>
        <w:jc w:val="both"/>
      </w:pPr>
      <w:r>
        <w:t>--------------------------------</w:t>
      </w:r>
    </w:p>
    <w:p w:rsidR="0046366C" w:rsidRDefault="0046366C">
      <w:pPr>
        <w:pStyle w:val="ConsPlusNormal"/>
        <w:spacing w:before="220"/>
        <w:ind w:firstLine="540"/>
        <w:jc w:val="both"/>
      </w:pPr>
      <w:r>
        <w:lastRenderedPageBreak/>
        <w:t>&lt;*&gt; Выделяется в целях реализации пункта 6 статьи 168 Налогового кодекса Российской Федерации (часть вторая).</w:t>
      </w: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jc w:val="right"/>
        <w:outlineLvl w:val="0"/>
      </w:pPr>
      <w:r>
        <w:t>Приложение 3</w:t>
      </w:r>
    </w:p>
    <w:p w:rsidR="0046366C" w:rsidRDefault="0046366C">
      <w:pPr>
        <w:pStyle w:val="ConsPlusNormal"/>
        <w:jc w:val="right"/>
      </w:pPr>
      <w:r>
        <w:t>к приказу Управления</w:t>
      </w:r>
    </w:p>
    <w:p w:rsidR="0046366C" w:rsidRDefault="0046366C">
      <w:pPr>
        <w:pStyle w:val="ConsPlusNormal"/>
        <w:jc w:val="right"/>
      </w:pPr>
      <w:r>
        <w:t>по государственному</w:t>
      </w:r>
    </w:p>
    <w:p w:rsidR="0046366C" w:rsidRDefault="0046366C">
      <w:pPr>
        <w:pStyle w:val="ConsPlusNormal"/>
        <w:jc w:val="right"/>
      </w:pPr>
      <w:r>
        <w:t>регулированию цен (тарифов)</w:t>
      </w:r>
    </w:p>
    <w:p w:rsidR="0046366C" w:rsidRDefault="0046366C">
      <w:pPr>
        <w:pStyle w:val="ConsPlusNormal"/>
        <w:jc w:val="right"/>
      </w:pPr>
      <w:r>
        <w:t>Ненецкого автономного округа</w:t>
      </w:r>
    </w:p>
    <w:p w:rsidR="0046366C" w:rsidRDefault="0046366C">
      <w:pPr>
        <w:pStyle w:val="ConsPlusNormal"/>
        <w:jc w:val="right"/>
      </w:pPr>
      <w:r>
        <w:t>от 13.12.2016 N 55</w:t>
      </w:r>
    </w:p>
    <w:p w:rsidR="0046366C" w:rsidRDefault="0046366C">
      <w:pPr>
        <w:pStyle w:val="ConsPlusNormal"/>
        <w:jc w:val="right"/>
      </w:pPr>
      <w:r>
        <w:t xml:space="preserve">"Об установлении </w:t>
      </w:r>
      <w:proofErr w:type="gramStart"/>
      <w:r>
        <w:t>долгосрочных</w:t>
      </w:r>
      <w:proofErr w:type="gramEnd"/>
    </w:p>
    <w:p w:rsidR="0046366C" w:rsidRDefault="0046366C">
      <w:pPr>
        <w:pStyle w:val="ConsPlusNormal"/>
        <w:jc w:val="right"/>
      </w:pPr>
      <w:r>
        <w:t>параметров регулирования и тарифов</w:t>
      </w:r>
    </w:p>
    <w:p w:rsidR="0046366C" w:rsidRDefault="0046366C">
      <w:pPr>
        <w:pStyle w:val="ConsPlusNormal"/>
        <w:jc w:val="right"/>
      </w:pPr>
      <w:r>
        <w:t>на тепловую энергию для общества</w:t>
      </w:r>
    </w:p>
    <w:p w:rsidR="0046366C" w:rsidRDefault="0046366C">
      <w:pPr>
        <w:pStyle w:val="ConsPlusNormal"/>
        <w:jc w:val="right"/>
      </w:pPr>
      <w:r>
        <w:t>с ограниченной ответственностью</w:t>
      </w:r>
    </w:p>
    <w:p w:rsidR="0046366C" w:rsidRDefault="0046366C">
      <w:pPr>
        <w:pStyle w:val="ConsPlusNormal"/>
        <w:jc w:val="right"/>
      </w:pPr>
      <w:r>
        <w:t xml:space="preserve">"Автоматика Сервис" </w:t>
      </w:r>
      <w:proofErr w:type="gramStart"/>
      <w:r>
        <w:t>на</w:t>
      </w:r>
      <w:proofErr w:type="gramEnd"/>
      <w:r>
        <w:t xml:space="preserve"> долгосрочный</w:t>
      </w:r>
    </w:p>
    <w:p w:rsidR="0046366C" w:rsidRDefault="0046366C">
      <w:pPr>
        <w:pStyle w:val="ConsPlusNormal"/>
        <w:jc w:val="right"/>
      </w:pPr>
      <w:r>
        <w:t>период регулирования</w:t>
      </w:r>
    </w:p>
    <w:p w:rsidR="0046366C" w:rsidRDefault="0046366C">
      <w:pPr>
        <w:pStyle w:val="ConsPlusNormal"/>
        <w:jc w:val="right"/>
      </w:pPr>
      <w:r>
        <w:t>2017 - 2019 годов"</w:t>
      </w: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Title"/>
        <w:jc w:val="center"/>
      </w:pPr>
      <w:bookmarkStart w:id="4" w:name="P156"/>
      <w:bookmarkEnd w:id="4"/>
      <w:r>
        <w:t>ЛЬГОТНЫЕ ТАРИФЫ</w:t>
      </w:r>
    </w:p>
    <w:p w:rsidR="0046366C" w:rsidRDefault="0046366C">
      <w:pPr>
        <w:pStyle w:val="ConsPlusTitle"/>
        <w:jc w:val="center"/>
      </w:pPr>
      <w:r>
        <w:t>НА ТЕПЛОВУЮ ЭНЕРГИЮ (МОЩНОСТЬ), ПОСТАВЛЯЕМУЮ НАСЕЛЕНИЮ</w:t>
      </w:r>
    </w:p>
    <w:p w:rsidR="0046366C" w:rsidRDefault="0046366C">
      <w:pPr>
        <w:pStyle w:val="ConsPlusTitle"/>
        <w:jc w:val="center"/>
      </w:pPr>
      <w:r>
        <w:t>И ПОТРЕБИТЕЛЯМ, ПРИРАВНЕННЫМ К НАСЕЛЕНИЮ</w:t>
      </w:r>
    </w:p>
    <w:p w:rsidR="0046366C" w:rsidRDefault="004636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6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66C" w:rsidRDefault="004636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66C" w:rsidRDefault="004636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46366C" w:rsidRDefault="0046366C">
            <w:pPr>
              <w:pStyle w:val="ConsPlusNormal"/>
              <w:jc w:val="center"/>
            </w:pPr>
            <w:r>
              <w:rPr>
                <w:color w:val="392C69"/>
              </w:rPr>
              <w:t>НАО от 22.11.2018 N 35)</w:t>
            </w:r>
          </w:p>
        </w:tc>
      </w:tr>
    </w:tbl>
    <w:p w:rsidR="0046366C" w:rsidRDefault="004636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14"/>
        <w:gridCol w:w="1587"/>
        <w:gridCol w:w="851"/>
        <w:gridCol w:w="1417"/>
        <w:gridCol w:w="1417"/>
      </w:tblGrid>
      <w:tr w:rsidR="0046366C">
        <w:tc>
          <w:tcPr>
            <w:tcW w:w="709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587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851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834" w:type="dxa"/>
            <w:gridSpan w:val="2"/>
          </w:tcPr>
          <w:p w:rsidR="0046366C" w:rsidRDefault="0046366C">
            <w:pPr>
              <w:pStyle w:val="ConsPlusNormal"/>
              <w:jc w:val="center"/>
            </w:pPr>
            <w:r>
              <w:t>Вода</w:t>
            </w:r>
          </w:p>
        </w:tc>
      </w:tr>
      <w:tr w:rsidR="0046366C">
        <w:tc>
          <w:tcPr>
            <w:tcW w:w="709" w:type="dxa"/>
            <w:vMerge/>
          </w:tcPr>
          <w:p w:rsidR="0046366C" w:rsidRDefault="0046366C"/>
        </w:tc>
        <w:tc>
          <w:tcPr>
            <w:tcW w:w="1814" w:type="dxa"/>
            <w:vMerge/>
          </w:tcPr>
          <w:p w:rsidR="0046366C" w:rsidRDefault="0046366C"/>
        </w:tc>
        <w:tc>
          <w:tcPr>
            <w:tcW w:w="1587" w:type="dxa"/>
            <w:vMerge/>
          </w:tcPr>
          <w:p w:rsidR="0046366C" w:rsidRDefault="0046366C"/>
        </w:tc>
        <w:tc>
          <w:tcPr>
            <w:tcW w:w="851" w:type="dxa"/>
            <w:vMerge/>
          </w:tcPr>
          <w:p w:rsidR="0046366C" w:rsidRDefault="0046366C"/>
        </w:tc>
        <w:tc>
          <w:tcPr>
            <w:tcW w:w="1417" w:type="dxa"/>
          </w:tcPr>
          <w:p w:rsidR="0046366C" w:rsidRDefault="0046366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46366C" w:rsidRDefault="0046366C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46366C">
        <w:tc>
          <w:tcPr>
            <w:tcW w:w="709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Merge w:val="restart"/>
          </w:tcPr>
          <w:p w:rsidR="0046366C" w:rsidRDefault="0046366C">
            <w:pPr>
              <w:pStyle w:val="ConsPlusNormal"/>
            </w:pPr>
            <w:r>
              <w:t>Общество с ограниченной ответственностью "Автоматика Сервис"</w:t>
            </w:r>
          </w:p>
        </w:tc>
        <w:tc>
          <w:tcPr>
            <w:tcW w:w="5272" w:type="dxa"/>
            <w:gridSpan w:val="4"/>
          </w:tcPr>
          <w:p w:rsidR="0046366C" w:rsidRDefault="0046366C">
            <w:pPr>
              <w:pStyle w:val="ConsPlusNormal"/>
              <w:jc w:val="center"/>
            </w:pPr>
            <w:r>
              <w:t>Население и потребители, приравненные к населению (тарифы указываются с учетом НДС) &lt;*&gt;</w:t>
            </w:r>
          </w:p>
        </w:tc>
      </w:tr>
      <w:tr w:rsidR="0046366C">
        <w:tc>
          <w:tcPr>
            <w:tcW w:w="709" w:type="dxa"/>
            <w:vMerge/>
          </w:tcPr>
          <w:p w:rsidR="0046366C" w:rsidRDefault="0046366C"/>
        </w:tc>
        <w:tc>
          <w:tcPr>
            <w:tcW w:w="1814" w:type="dxa"/>
            <w:vMerge/>
          </w:tcPr>
          <w:p w:rsidR="0046366C" w:rsidRDefault="0046366C"/>
        </w:tc>
        <w:tc>
          <w:tcPr>
            <w:tcW w:w="1587" w:type="dxa"/>
            <w:vMerge w:val="restart"/>
          </w:tcPr>
          <w:p w:rsidR="0046366C" w:rsidRDefault="0046366C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51" w:type="dxa"/>
          </w:tcPr>
          <w:p w:rsidR="0046366C" w:rsidRDefault="004636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46366C" w:rsidRDefault="004636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366C" w:rsidRDefault="0046366C">
            <w:pPr>
              <w:pStyle w:val="ConsPlusNormal"/>
              <w:jc w:val="center"/>
            </w:pPr>
            <w:r>
              <w:t>1 588,65</w:t>
            </w:r>
          </w:p>
        </w:tc>
      </w:tr>
      <w:tr w:rsidR="0046366C">
        <w:tc>
          <w:tcPr>
            <w:tcW w:w="709" w:type="dxa"/>
            <w:vMerge/>
          </w:tcPr>
          <w:p w:rsidR="0046366C" w:rsidRDefault="0046366C"/>
        </w:tc>
        <w:tc>
          <w:tcPr>
            <w:tcW w:w="1814" w:type="dxa"/>
            <w:vMerge/>
          </w:tcPr>
          <w:p w:rsidR="0046366C" w:rsidRDefault="0046366C"/>
        </w:tc>
        <w:tc>
          <w:tcPr>
            <w:tcW w:w="1587" w:type="dxa"/>
            <w:vMerge/>
          </w:tcPr>
          <w:p w:rsidR="0046366C" w:rsidRDefault="0046366C"/>
        </w:tc>
        <w:tc>
          <w:tcPr>
            <w:tcW w:w="851" w:type="dxa"/>
          </w:tcPr>
          <w:p w:rsidR="0046366C" w:rsidRDefault="004636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46366C" w:rsidRDefault="0046366C">
            <w:pPr>
              <w:pStyle w:val="ConsPlusNormal"/>
              <w:jc w:val="center"/>
            </w:pPr>
            <w:r>
              <w:t>1 588,65</w:t>
            </w:r>
          </w:p>
        </w:tc>
        <w:tc>
          <w:tcPr>
            <w:tcW w:w="1417" w:type="dxa"/>
          </w:tcPr>
          <w:p w:rsidR="0046366C" w:rsidRDefault="0046366C">
            <w:pPr>
              <w:pStyle w:val="ConsPlusNormal"/>
              <w:jc w:val="center"/>
            </w:pPr>
            <w:r>
              <w:t>1 650,61</w:t>
            </w:r>
          </w:p>
        </w:tc>
      </w:tr>
      <w:tr w:rsidR="0046366C">
        <w:tc>
          <w:tcPr>
            <w:tcW w:w="709" w:type="dxa"/>
            <w:vMerge/>
          </w:tcPr>
          <w:p w:rsidR="0046366C" w:rsidRDefault="0046366C"/>
        </w:tc>
        <w:tc>
          <w:tcPr>
            <w:tcW w:w="1814" w:type="dxa"/>
            <w:vMerge/>
          </w:tcPr>
          <w:p w:rsidR="0046366C" w:rsidRDefault="0046366C"/>
        </w:tc>
        <w:tc>
          <w:tcPr>
            <w:tcW w:w="1587" w:type="dxa"/>
            <w:vMerge/>
          </w:tcPr>
          <w:p w:rsidR="0046366C" w:rsidRDefault="0046366C"/>
        </w:tc>
        <w:tc>
          <w:tcPr>
            <w:tcW w:w="851" w:type="dxa"/>
          </w:tcPr>
          <w:p w:rsidR="0046366C" w:rsidRDefault="0046366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46366C" w:rsidRDefault="0046366C">
            <w:pPr>
              <w:pStyle w:val="ConsPlusNormal"/>
              <w:jc w:val="center"/>
            </w:pPr>
            <w:r>
              <w:t>1 678,58</w:t>
            </w:r>
          </w:p>
        </w:tc>
        <w:tc>
          <w:tcPr>
            <w:tcW w:w="1417" w:type="dxa"/>
          </w:tcPr>
          <w:p w:rsidR="0046366C" w:rsidRDefault="0046366C">
            <w:pPr>
              <w:pStyle w:val="ConsPlusNormal"/>
              <w:jc w:val="center"/>
            </w:pPr>
            <w:r>
              <w:t>1 718,87</w:t>
            </w:r>
          </w:p>
        </w:tc>
      </w:tr>
    </w:tbl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ind w:firstLine="540"/>
        <w:jc w:val="both"/>
      </w:pPr>
      <w:r>
        <w:t>--------------------------------</w:t>
      </w:r>
    </w:p>
    <w:p w:rsidR="0046366C" w:rsidRDefault="0046366C">
      <w:pPr>
        <w:pStyle w:val="ConsPlusNormal"/>
        <w:spacing w:before="220"/>
        <w:ind w:firstLine="540"/>
        <w:jc w:val="both"/>
      </w:pPr>
      <w:r>
        <w:t>&lt;*&gt; Выделяется в целях реализации пункта 6 статьи 168 Налогового кодекса Российской Федерации (часть вторая).</w:t>
      </w: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ind w:firstLine="540"/>
        <w:jc w:val="both"/>
      </w:pPr>
      <w:r>
        <w:t>Примечание:</w:t>
      </w:r>
    </w:p>
    <w:p w:rsidR="0046366C" w:rsidRDefault="0046366C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46366C" w:rsidRDefault="0046366C">
      <w:pPr>
        <w:pStyle w:val="ConsPlusNormal"/>
        <w:spacing w:before="220"/>
        <w:ind w:firstLine="540"/>
        <w:jc w:val="both"/>
      </w:pPr>
      <w:r>
        <w:t>на период с 01.01.2018 по 30.06.2018 - 1 574,00 руб./Гкал;</w:t>
      </w:r>
    </w:p>
    <w:p w:rsidR="0046366C" w:rsidRDefault="0046366C">
      <w:pPr>
        <w:pStyle w:val="ConsPlusNormal"/>
        <w:spacing w:before="220"/>
        <w:ind w:firstLine="540"/>
        <w:jc w:val="both"/>
      </w:pPr>
      <w:r>
        <w:lastRenderedPageBreak/>
        <w:t>на период с 01.07.2018 по 31.12.2018 - 1 586,74 руб./Гкал;</w:t>
      </w:r>
    </w:p>
    <w:p w:rsidR="0046366C" w:rsidRDefault="0046366C">
      <w:pPr>
        <w:pStyle w:val="ConsPlusNormal"/>
        <w:spacing w:before="220"/>
        <w:ind w:firstLine="540"/>
        <w:jc w:val="both"/>
      </w:pPr>
      <w:r>
        <w:t>на период с 01.01.2019 по 30.06.2019 - 1 545,00 руб./Гкал;</w:t>
      </w:r>
    </w:p>
    <w:p w:rsidR="0046366C" w:rsidRDefault="0046366C">
      <w:pPr>
        <w:pStyle w:val="ConsPlusNormal"/>
        <w:spacing w:before="220"/>
        <w:ind w:firstLine="540"/>
        <w:jc w:val="both"/>
      </w:pPr>
      <w:r>
        <w:t>на период с 01.07.2019 по 31.12.2019 - 1 606,31 руб./Гкал.</w:t>
      </w:r>
    </w:p>
    <w:p w:rsidR="0046366C" w:rsidRDefault="0046366C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jc w:val="both"/>
      </w:pPr>
    </w:p>
    <w:p w:rsidR="0046366C" w:rsidRDefault="004636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E76E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6C"/>
    <w:rsid w:val="00092B2E"/>
    <w:rsid w:val="0046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6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6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2020-06-25T11:17:00Z</dcterms:created>
  <dcterms:modified xsi:type="dcterms:W3CDTF">2020-06-25T11:17:00Z</dcterms:modified>
</cp:coreProperties>
</file>