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8" w:rsidRDefault="00E418D8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E418D8" w:rsidRDefault="00E418D8">
      <w:pPr>
        <w:pStyle w:val="ConsPlusTitle"/>
        <w:jc w:val="center"/>
      </w:pPr>
      <w:r>
        <w:t>НЕНЕЦКОГО АВТОНОМНОГО ОКРУГА</w:t>
      </w:r>
    </w:p>
    <w:p w:rsidR="00E418D8" w:rsidRDefault="00E418D8">
      <w:pPr>
        <w:pStyle w:val="ConsPlusTitle"/>
        <w:jc w:val="both"/>
      </w:pPr>
    </w:p>
    <w:p w:rsidR="00E418D8" w:rsidRDefault="00E418D8">
      <w:pPr>
        <w:pStyle w:val="ConsPlusTitle"/>
        <w:jc w:val="center"/>
      </w:pPr>
      <w:r>
        <w:t>ПРИКАЗ</w:t>
      </w:r>
    </w:p>
    <w:p w:rsidR="00E418D8" w:rsidRDefault="00E418D8">
      <w:pPr>
        <w:pStyle w:val="ConsPlusTitle"/>
        <w:jc w:val="center"/>
      </w:pPr>
      <w:r>
        <w:t>от 12 декабря 2018 г. N 52</w:t>
      </w:r>
    </w:p>
    <w:p w:rsidR="00E418D8" w:rsidRDefault="00E418D8">
      <w:pPr>
        <w:pStyle w:val="ConsPlusTitle"/>
        <w:jc w:val="both"/>
      </w:pPr>
    </w:p>
    <w:p w:rsidR="00E418D8" w:rsidRDefault="00E418D8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E418D8" w:rsidRDefault="00E418D8">
      <w:pPr>
        <w:pStyle w:val="ConsPlusTitle"/>
        <w:jc w:val="center"/>
      </w:pPr>
      <w:r>
        <w:t xml:space="preserve">И ТАРИФОВ В СФЕРЕ ТЕПЛОСНАБЖЕНИЯ </w:t>
      </w:r>
      <w:proofErr w:type="gramStart"/>
      <w:r>
        <w:t>ДЛЯ</w:t>
      </w:r>
      <w:proofErr w:type="gramEnd"/>
      <w:r>
        <w:t xml:space="preserve"> ГОСУДАРСТВЕННОГО</w:t>
      </w:r>
    </w:p>
    <w:p w:rsidR="00E418D8" w:rsidRDefault="00E418D8">
      <w:pPr>
        <w:pStyle w:val="ConsPlusTitle"/>
        <w:jc w:val="center"/>
      </w:pPr>
      <w:r>
        <w:t>УНИТАРНОГО ПРЕДПРИЯТИЯ НЕНЕЦКОГО АВТОНОМНОГО ОКРУГА</w:t>
      </w:r>
    </w:p>
    <w:p w:rsidR="00E418D8" w:rsidRDefault="00E418D8">
      <w:pPr>
        <w:pStyle w:val="ConsPlusTitle"/>
        <w:jc w:val="center"/>
      </w:pPr>
      <w:r>
        <w:t>"НАРЬЯН-МАРСКАЯ ЭЛЕКТРОСТАНЦИЯ" НА ДОЛГОСРОЧНЫЙ ПЕРИОД</w:t>
      </w:r>
    </w:p>
    <w:p w:rsidR="00E418D8" w:rsidRDefault="00E418D8">
      <w:pPr>
        <w:pStyle w:val="ConsPlusTitle"/>
        <w:jc w:val="center"/>
      </w:pPr>
      <w:r>
        <w:t>РЕГУЛИРОВАНИЯ 2019 - 2023 ГОДОВ</w:t>
      </w:r>
    </w:p>
    <w:p w:rsidR="00E418D8" w:rsidRDefault="00E418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8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8D8" w:rsidRDefault="00E418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НАО от 12.12.2019 N 76)</w:t>
            </w:r>
          </w:p>
        </w:tc>
      </w:tr>
    </w:tbl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ind w:firstLine="540"/>
        <w:jc w:val="both"/>
      </w:pPr>
      <w:proofErr w:type="gramStart"/>
      <w:r>
        <w:t>В соответствии с Федеральным законом от 27.07.2010 N 190-ФЗ "О теплоснабжении", постановлением Правительства Российской Федерации от 22.10.2012 N 1075 "О ценообразовании в сфере теплоснабжения", приказом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теплоснабжения", законом Ненецкого автономного округа от 09.07.2014 N 69-ОЗ "О льготах</w:t>
      </w:r>
      <w:proofErr w:type="gramEnd"/>
      <w:r>
        <w:t xml:space="preserve"> по оплате тепловой энергии (мощности), теплоносителя на территории Ненецкого автономного округа",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для государственного унитарного предприятия Ненецкого автономного округа "Нарьян-Марская электростанция" (далее - ГУП НАО "Нарьян-Марская электростанция") на долгосрочный период регулирования 2019 - 2023 годов для формирования тарифов на тепловую энергию (мощность), поставляемую потребителям, с использованием метода индексации согласно Приложению 1.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2019 года по 31 декабря 2023 года с календарной разбивкой: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1) тарифы на тепловую энергию (мощность), поставляемую потребителям (за исключением населения и потребителей, приравненных к населению) ГУП НАО "Нарьян-Марская электростанция", согласно Приложению 2;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2) льготные тарифы на тепловую энергию (мощность), поставляемую населению и потребителям, приравненным к населению, ГУП НАО "Нарьян-Марская электростанция" согласно Приложению 3;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3) тарифы на теплоноситель, поставляемый населению и потребителям, приравненным к населению ГУП НАО "Нарьян-Марская электростанция", согласно Приложению 4;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4) тарифы на горячую воду в открытых системах теплоснабжения (горячего водоснабжения), поставляемую населению и потребителям, приравненным к населению ГУП НАО "Нарьян-Марская электростанция", согласно Приложению 5.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right"/>
      </w:pPr>
      <w:r>
        <w:t>Начальник Управления</w:t>
      </w:r>
    </w:p>
    <w:p w:rsidR="00E418D8" w:rsidRDefault="00E418D8">
      <w:pPr>
        <w:pStyle w:val="ConsPlusNormal"/>
        <w:jc w:val="right"/>
      </w:pPr>
      <w:r>
        <w:t>С.А.АНДРИЯНОВ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right"/>
        <w:outlineLvl w:val="0"/>
      </w:pPr>
      <w:r>
        <w:t>Приложение 1</w:t>
      </w:r>
    </w:p>
    <w:p w:rsidR="00E418D8" w:rsidRDefault="00E418D8">
      <w:pPr>
        <w:pStyle w:val="ConsPlusNormal"/>
        <w:jc w:val="right"/>
      </w:pPr>
      <w:r>
        <w:t>к приказу Управления по государственному</w:t>
      </w:r>
    </w:p>
    <w:p w:rsidR="00E418D8" w:rsidRDefault="00E418D8">
      <w:pPr>
        <w:pStyle w:val="ConsPlusNormal"/>
        <w:jc w:val="right"/>
      </w:pPr>
      <w:r>
        <w:t>регулированию цен (тарифов)</w:t>
      </w:r>
    </w:p>
    <w:p w:rsidR="00E418D8" w:rsidRDefault="00E418D8">
      <w:pPr>
        <w:pStyle w:val="ConsPlusNormal"/>
        <w:jc w:val="right"/>
      </w:pPr>
      <w:r>
        <w:t>Ненецкого автономного округа</w:t>
      </w:r>
    </w:p>
    <w:p w:rsidR="00E418D8" w:rsidRDefault="00E418D8">
      <w:pPr>
        <w:pStyle w:val="ConsPlusNormal"/>
        <w:jc w:val="right"/>
      </w:pPr>
      <w:r>
        <w:t>от 12.12.2018 N 52</w:t>
      </w:r>
    </w:p>
    <w:p w:rsidR="00E418D8" w:rsidRDefault="00E418D8">
      <w:pPr>
        <w:pStyle w:val="ConsPlusNormal"/>
        <w:jc w:val="right"/>
      </w:pPr>
      <w:r>
        <w:t>"Об установлении долгосрочных параметров</w:t>
      </w:r>
    </w:p>
    <w:p w:rsidR="00E418D8" w:rsidRDefault="00E418D8">
      <w:pPr>
        <w:pStyle w:val="ConsPlusNormal"/>
        <w:jc w:val="right"/>
      </w:pPr>
      <w:r>
        <w:t>регулирования и тарифов в сфере</w:t>
      </w:r>
    </w:p>
    <w:p w:rsidR="00E418D8" w:rsidRDefault="00E418D8">
      <w:pPr>
        <w:pStyle w:val="ConsPlusNormal"/>
        <w:jc w:val="right"/>
      </w:pPr>
      <w:r>
        <w:t xml:space="preserve">теплоснабжения </w:t>
      </w:r>
      <w:proofErr w:type="gramStart"/>
      <w:r>
        <w:t>для</w:t>
      </w:r>
      <w:proofErr w:type="gramEnd"/>
      <w:r>
        <w:t xml:space="preserve"> государственного</w:t>
      </w:r>
    </w:p>
    <w:p w:rsidR="00E418D8" w:rsidRDefault="00E418D8">
      <w:pPr>
        <w:pStyle w:val="ConsPlusNormal"/>
        <w:jc w:val="right"/>
      </w:pPr>
      <w:r>
        <w:t>унитарного предприятия Ненецкого</w:t>
      </w:r>
    </w:p>
    <w:p w:rsidR="00E418D8" w:rsidRDefault="00E418D8">
      <w:pPr>
        <w:pStyle w:val="ConsPlusNormal"/>
        <w:jc w:val="right"/>
      </w:pPr>
      <w:r>
        <w:t>автономного округа "Нарьян-Марская</w:t>
      </w:r>
    </w:p>
    <w:p w:rsidR="00E418D8" w:rsidRDefault="00E418D8">
      <w:pPr>
        <w:pStyle w:val="ConsPlusNormal"/>
        <w:jc w:val="right"/>
      </w:pPr>
      <w:r>
        <w:t xml:space="preserve">электростанция" на </w:t>
      </w:r>
      <w:proofErr w:type="gramStart"/>
      <w:r>
        <w:t>долгосрочный</w:t>
      </w:r>
      <w:proofErr w:type="gramEnd"/>
    </w:p>
    <w:p w:rsidR="00E418D8" w:rsidRDefault="00E418D8">
      <w:pPr>
        <w:pStyle w:val="ConsPlusNormal"/>
        <w:jc w:val="right"/>
      </w:pPr>
      <w:r>
        <w:t>период регулирования 2019 - 2023 годов"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Title"/>
        <w:jc w:val="center"/>
      </w:pPr>
      <w:bookmarkStart w:id="1" w:name="P45"/>
      <w:bookmarkEnd w:id="1"/>
      <w:r>
        <w:t>ДОЛГОСРОЧНЫЕ ПАРАМЕТРЫ</w:t>
      </w:r>
    </w:p>
    <w:p w:rsidR="00E418D8" w:rsidRDefault="00E418D8">
      <w:pPr>
        <w:pStyle w:val="ConsPlusTitle"/>
        <w:jc w:val="center"/>
      </w:pPr>
      <w:r>
        <w:t>РЕГУЛИРОВАНИЯ ДЛЯ ГОСУДАРСТВЕННОГО УНИТАРНОГО ПРЕДПРИЯТИЯ</w:t>
      </w:r>
    </w:p>
    <w:p w:rsidR="00E418D8" w:rsidRDefault="00E418D8">
      <w:pPr>
        <w:pStyle w:val="ConsPlusTitle"/>
        <w:jc w:val="center"/>
      </w:pPr>
      <w:r>
        <w:t>НЕНЕЦКОГО АВТОНОМНОГО ОКРУГА "НАРЬЯН-МАРСКАЯ ЭЛЕКТРОСТАНЦИЯ"</w:t>
      </w:r>
    </w:p>
    <w:p w:rsidR="00E418D8" w:rsidRDefault="00E418D8">
      <w:pPr>
        <w:pStyle w:val="ConsPlusTitle"/>
        <w:jc w:val="center"/>
      </w:pPr>
      <w:r>
        <w:t>НА ДОЛГОСРОЧНЫЙ ПЕРИОД РЕГУЛИРОВАНИЯ 2019 - 2023 ГОДОВ</w:t>
      </w:r>
    </w:p>
    <w:p w:rsidR="00E418D8" w:rsidRDefault="00E418D8">
      <w:pPr>
        <w:pStyle w:val="ConsPlusTitle"/>
        <w:jc w:val="center"/>
      </w:pPr>
      <w:r>
        <w:t>ДЛЯ ФОРМИРОВАНИЯ ТАРИФОВ В СФЕРЕ ТЕПЛОСНАБЖЕНИЯ</w:t>
      </w:r>
    </w:p>
    <w:p w:rsidR="00E418D8" w:rsidRDefault="00E418D8">
      <w:pPr>
        <w:pStyle w:val="ConsPlusTitle"/>
        <w:jc w:val="center"/>
      </w:pPr>
      <w:r>
        <w:t>С ИСПОЛЬЗОВАНИЕМ МЕТОДА ИНДЕКСАЦИИ</w:t>
      </w:r>
    </w:p>
    <w:p w:rsidR="00E418D8" w:rsidRDefault="00E418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9"/>
        <w:gridCol w:w="1361"/>
        <w:gridCol w:w="1134"/>
        <w:gridCol w:w="1484"/>
        <w:gridCol w:w="1757"/>
      </w:tblGrid>
      <w:tr w:rsidR="00E418D8">
        <w:tc>
          <w:tcPr>
            <w:tcW w:w="2608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34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3241" w:type="dxa"/>
            <w:gridSpan w:val="2"/>
          </w:tcPr>
          <w:p w:rsidR="00E418D8" w:rsidRDefault="00E418D8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E418D8">
        <w:tc>
          <w:tcPr>
            <w:tcW w:w="2608" w:type="dxa"/>
            <w:vMerge/>
          </w:tcPr>
          <w:p w:rsidR="00E418D8" w:rsidRDefault="00E418D8"/>
        </w:tc>
        <w:tc>
          <w:tcPr>
            <w:tcW w:w="709" w:type="dxa"/>
            <w:vMerge/>
          </w:tcPr>
          <w:p w:rsidR="00E418D8" w:rsidRDefault="00E418D8"/>
        </w:tc>
        <w:tc>
          <w:tcPr>
            <w:tcW w:w="1361" w:type="dxa"/>
            <w:vMerge/>
          </w:tcPr>
          <w:p w:rsidR="00E418D8" w:rsidRDefault="00E418D8"/>
        </w:tc>
        <w:tc>
          <w:tcPr>
            <w:tcW w:w="1134" w:type="dxa"/>
            <w:vMerge/>
          </w:tcPr>
          <w:p w:rsidR="00E418D8" w:rsidRDefault="00E418D8"/>
        </w:tc>
        <w:tc>
          <w:tcPr>
            <w:tcW w:w="1484" w:type="dxa"/>
          </w:tcPr>
          <w:p w:rsidR="00E418D8" w:rsidRDefault="00E418D8">
            <w:pPr>
              <w:pStyle w:val="ConsPlusNormal"/>
              <w:jc w:val="center"/>
            </w:pPr>
            <w:r>
              <w:t xml:space="preserve">удельный расход топлива, </w:t>
            </w:r>
            <w:proofErr w:type="gramStart"/>
            <w:r>
              <w:t>кг</w:t>
            </w:r>
            <w:proofErr w:type="gramEnd"/>
            <w:r>
              <w:t xml:space="preserve"> у. т./Гкал</w:t>
            </w:r>
          </w:p>
        </w:tc>
        <w:tc>
          <w:tcPr>
            <w:tcW w:w="1757" w:type="dxa"/>
          </w:tcPr>
          <w:p w:rsidR="00E418D8" w:rsidRDefault="00E418D8">
            <w:pPr>
              <w:pStyle w:val="ConsPlusNormal"/>
              <w:jc w:val="center"/>
            </w:pPr>
            <w:r>
              <w:t>технологические потери тепловой энергии, Гкал</w:t>
            </w:r>
          </w:p>
        </w:tc>
      </w:tr>
      <w:tr w:rsidR="00E418D8">
        <w:tc>
          <w:tcPr>
            <w:tcW w:w="2608" w:type="dxa"/>
            <w:vMerge w:val="restart"/>
          </w:tcPr>
          <w:p w:rsidR="00E418D8" w:rsidRDefault="00E418D8">
            <w:pPr>
              <w:pStyle w:val="ConsPlusNormal"/>
            </w:pPr>
            <w:r>
              <w:t>Государственное унитарное предприятие Ненецкого автономного округа "Нарьян-Марская электростанция"</w:t>
            </w:r>
          </w:p>
        </w:tc>
        <w:tc>
          <w:tcPr>
            <w:tcW w:w="709" w:type="dxa"/>
          </w:tcPr>
          <w:p w:rsidR="00E418D8" w:rsidRDefault="00E418D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483,09</w:t>
            </w:r>
          </w:p>
        </w:tc>
        <w:tc>
          <w:tcPr>
            <w:tcW w:w="1134" w:type="dxa"/>
          </w:tcPr>
          <w:p w:rsidR="00E418D8" w:rsidRDefault="00E418D8">
            <w:pPr>
              <w:pStyle w:val="ConsPlusNormal"/>
            </w:pPr>
          </w:p>
        </w:tc>
        <w:tc>
          <w:tcPr>
            <w:tcW w:w="1484" w:type="dxa"/>
          </w:tcPr>
          <w:p w:rsidR="00E418D8" w:rsidRDefault="00E418D8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757" w:type="dxa"/>
          </w:tcPr>
          <w:p w:rsidR="00E418D8" w:rsidRDefault="00E418D8">
            <w:pPr>
              <w:pStyle w:val="ConsPlusNormal"/>
              <w:jc w:val="center"/>
            </w:pPr>
            <w:r>
              <w:t>18,3</w:t>
            </w:r>
          </w:p>
        </w:tc>
      </w:tr>
      <w:tr w:rsidR="00E418D8">
        <w:tc>
          <w:tcPr>
            <w:tcW w:w="2608" w:type="dxa"/>
            <w:vMerge/>
          </w:tcPr>
          <w:p w:rsidR="00E418D8" w:rsidRDefault="00E418D8"/>
        </w:tc>
        <w:tc>
          <w:tcPr>
            <w:tcW w:w="709" w:type="dxa"/>
          </w:tcPr>
          <w:p w:rsidR="00E418D8" w:rsidRDefault="00E418D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</w:pPr>
          </w:p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84" w:type="dxa"/>
          </w:tcPr>
          <w:p w:rsidR="00E418D8" w:rsidRDefault="00E418D8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757" w:type="dxa"/>
          </w:tcPr>
          <w:p w:rsidR="00E418D8" w:rsidRDefault="00E418D8">
            <w:pPr>
              <w:pStyle w:val="ConsPlusNormal"/>
              <w:jc w:val="center"/>
            </w:pPr>
            <w:r>
              <w:t>18,3</w:t>
            </w:r>
          </w:p>
        </w:tc>
      </w:tr>
      <w:tr w:rsidR="00E418D8">
        <w:tc>
          <w:tcPr>
            <w:tcW w:w="2608" w:type="dxa"/>
            <w:vMerge/>
          </w:tcPr>
          <w:p w:rsidR="00E418D8" w:rsidRDefault="00E418D8"/>
        </w:tc>
        <w:tc>
          <w:tcPr>
            <w:tcW w:w="709" w:type="dxa"/>
          </w:tcPr>
          <w:p w:rsidR="00E418D8" w:rsidRDefault="00E418D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</w:pPr>
          </w:p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84" w:type="dxa"/>
          </w:tcPr>
          <w:p w:rsidR="00E418D8" w:rsidRDefault="00E418D8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757" w:type="dxa"/>
          </w:tcPr>
          <w:p w:rsidR="00E418D8" w:rsidRDefault="00E418D8">
            <w:pPr>
              <w:pStyle w:val="ConsPlusNormal"/>
              <w:jc w:val="center"/>
            </w:pPr>
            <w:r>
              <w:t>18,3</w:t>
            </w:r>
          </w:p>
        </w:tc>
      </w:tr>
      <w:tr w:rsidR="00E418D8">
        <w:tc>
          <w:tcPr>
            <w:tcW w:w="2608" w:type="dxa"/>
            <w:vMerge/>
          </w:tcPr>
          <w:p w:rsidR="00E418D8" w:rsidRDefault="00E418D8"/>
        </w:tc>
        <w:tc>
          <w:tcPr>
            <w:tcW w:w="709" w:type="dxa"/>
          </w:tcPr>
          <w:p w:rsidR="00E418D8" w:rsidRDefault="00E418D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</w:pPr>
          </w:p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84" w:type="dxa"/>
          </w:tcPr>
          <w:p w:rsidR="00E418D8" w:rsidRDefault="00E418D8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757" w:type="dxa"/>
          </w:tcPr>
          <w:p w:rsidR="00E418D8" w:rsidRDefault="00E418D8">
            <w:pPr>
              <w:pStyle w:val="ConsPlusNormal"/>
              <w:jc w:val="center"/>
            </w:pPr>
            <w:r>
              <w:t>18,3</w:t>
            </w:r>
          </w:p>
        </w:tc>
      </w:tr>
      <w:tr w:rsidR="00E418D8">
        <w:tc>
          <w:tcPr>
            <w:tcW w:w="2608" w:type="dxa"/>
            <w:vMerge/>
          </w:tcPr>
          <w:p w:rsidR="00E418D8" w:rsidRDefault="00E418D8"/>
        </w:tc>
        <w:tc>
          <w:tcPr>
            <w:tcW w:w="709" w:type="dxa"/>
          </w:tcPr>
          <w:p w:rsidR="00E418D8" w:rsidRDefault="00E418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</w:pPr>
          </w:p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84" w:type="dxa"/>
          </w:tcPr>
          <w:p w:rsidR="00E418D8" w:rsidRDefault="00E418D8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757" w:type="dxa"/>
          </w:tcPr>
          <w:p w:rsidR="00E418D8" w:rsidRDefault="00E418D8">
            <w:pPr>
              <w:pStyle w:val="ConsPlusNormal"/>
              <w:jc w:val="center"/>
            </w:pPr>
            <w:r>
              <w:t>18,3</w:t>
            </w:r>
          </w:p>
        </w:tc>
      </w:tr>
    </w:tbl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right"/>
        <w:outlineLvl w:val="0"/>
      </w:pPr>
      <w:r>
        <w:t>Приложение 2</w:t>
      </w:r>
    </w:p>
    <w:p w:rsidR="00E418D8" w:rsidRDefault="00E418D8">
      <w:pPr>
        <w:pStyle w:val="ConsPlusNormal"/>
        <w:jc w:val="right"/>
      </w:pPr>
      <w:r>
        <w:t>к приказу Управления по государственному</w:t>
      </w:r>
    </w:p>
    <w:p w:rsidR="00E418D8" w:rsidRDefault="00E418D8">
      <w:pPr>
        <w:pStyle w:val="ConsPlusNormal"/>
        <w:jc w:val="right"/>
      </w:pPr>
      <w:r>
        <w:t>регулированию цен (тарифов)</w:t>
      </w:r>
    </w:p>
    <w:p w:rsidR="00E418D8" w:rsidRDefault="00E418D8">
      <w:pPr>
        <w:pStyle w:val="ConsPlusNormal"/>
        <w:jc w:val="right"/>
      </w:pPr>
      <w:r>
        <w:t>Ненецкого автономного округа</w:t>
      </w:r>
    </w:p>
    <w:p w:rsidR="00E418D8" w:rsidRDefault="00E418D8">
      <w:pPr>
        <w:pStyle w:val="ConsPlusNormal"/>
        <w:jc w:val="right"/>
      </w:pPr>
      <w:r>
        <w:t>от 12.12.2018 N 52</w:t>
      </w:r>
    </w:p>
    <w:p w:rsidR="00E418D8" w:rsidRDefault="00E418D8">
      <w:pPr>
        <w:pStyle w:val="ConsPlusNormal"/>
        <w:jc w:val="right"/>
      </w:pPr>
      <w:r>
        <w:t>"Об установлении долгосрочных параметров</w:t>
      </w:r>
    </w:p>
    <w:p w:rsidR="00E418D8" w:rsidRDefault="00E418D8">
      <w:pPr>
        <w:pStyle w:val="ConsPlusNormal"/>
        <w:jc w:val="right"/>
      </w:pPr>
      <w:r>
        <w:t>регулирования и тарифов в сфере</w:t>
      </w:r>
    </w:p>
    <w:p w:rsidR="00E418D8" w:rsidRDefault="00E418D8">
      <w:pPr>
        <w:pStyle w:val="ConsPlusNormal"/>
        <w:jc w:val="right"/>
      </w:pPr>
      <w:r>
        <w:lastRenderedPageBreak/>
        <w:t xml:space="preserve">теплоснабжения </w:t>
      </w:r>
      <w:proofErr w:type="gramStart"/>
      <w:r>
        <w:t>для</w:t>
      </w:r>
      <w:proofErr w:type="gramEnd"/>
      <w:r>
        <w:t xml:space="preserve"> государственного</w:t>
      </w:r>
    </w:p>
    <w:p w:rsidR="00E418D8" w:rsidRDefault="00E418D8">
      <w:pPr>
        <w:pStyle w:val="ConsPlusNormal"/>
        <w:jc w:val="right"/>
      </w:pPr>
      <w:r>
        <w:t>унитарного предприятия Ненецкого</w:t>
      </w:r>
    </w:p>
    <w:p w:rsidR="00E418D8" w:rsidRDefault="00E418D8">
      <w:pPr>
        <w:pStyle w:val="ConsPlusNormal"/>
        <w:jc w:val="right"/>
      </w:pPr>
      <w:r>
        <w:t>автономного округа "Нарьян-Марская</w:t>
      </w:r>
    </w:p>
    <w:p w:rsidR="00E418D8" w:rsidRDefault="00E418D8">
      <w:pPr>
        <w:pStyle w:val="ConsPlusNormal"/>
        <w:jc w:val="right"/>
      </w:pPr>
      <w:r>
        <w:t xml:space="preserve">электростанция" на </w:t>
      </w:r>
      <w:proofErr w:type="gramStart"/>
      <w:r>
        <w:t>долгосрочный</w:t>
      </w:r>
      <w:proofErr w:type="gramEnd"/>
    </w:p>
    <w:p w:rsidR="00E418D8" w:rsidRDefault="00E418D8">
      <w:pPr>
        <w:pStyle w:val="ConsPlusNormal"/>
        <w:jc w:val="right"/>
      </w:pPr>
      <w:r>
        <w:t>период регулирования 2019 - 2023 годов"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Title"/>
        <w:jc w:val="center"/>
      </w:pPr>
      <w:bookmarkStart w:id="2" w:name="P103"/>
      <w:bookmarkEnd w:id="2"/>
      <w:r>
        <w:t>ТАРИФЫ</w:t>
      </w:r>
    </w:p>
    <w:p w:rsidR="00E418D8" w:rsidRDefault="00E418D8">
      <w:pPr>
        <w:pStyle w:val="ConsPlusTitle"/>
        <w:jc w:val="center"/>
      </w:pPr>
      <w:r>
        <w:t>НА ТЕПЛОВУЮ ЭНЕРГИЮ (МОЩНОСТЬ), ПОСТАВЛЯЕМУЮ</w:t>
      </w:r>
    </w:p>
    <w:p w:rsidR="00E418D8" w:rsidRDefault="00E418D8">
      <w:pPr>
        <w:pStyle w:val="ConsPlusTitle"/>
        <w:jc w:val="center"/>
      </w:pPr>
      <w:proofErr w:type="gramStart"/>
      <w:r>
        <w:t>ПОТРЕБИТЕЛЯМ (ЗА ИСКЛЮЧЕНИЕМ НАСЕЛЕНИЯ И ПОТРЕБИТЕЛЕЙ,</w:t>
      </w:r>
      <w:proofErr w:type="gramEnd"/>
    </w:p>
    <w:p w:rsidR="00E418D8" w:rsidRDefault="00E418D8">
      <w:pPr>
        <w:pStyle w:val="ConsPlusTitle"/>
        <w:jc w:val="center"/>
      </w:pPr>
      <w:proofErr w:type="gramStart"/>
      <w:r>
        <w:t>ПРИРАВНЕННЫХ К НАСЕЛЕНИЮ)</w:t>
      </w:r>
      <w:proofErr w:type="gramEnd"/>
    </w:p>
    <w:p w:rsidR="00E418D8" w:rsidRDefault="00E418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8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8D8" w:rsidRDefault="00E418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НАО от 12.12.2019 N 76)</w:t>
            </w:r>
          </w:p>
        </w:tc>
      </w:tr>
    </w:tbl>
    <w:p w:rsidR="00E418D8" w:rsidRDefault="00E418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851"/>
        <w:gridCol w:w="1531"/>
        <w:gridCol w:w="1701"/>
      </w:tblGrid>
      <w:tr w:rsidR="00E418D8">
        <w:tc>
          <w:tcPr>
            <w:tcW w:w="2552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51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32" w:type="dxa"/>
            <w:gridSpan w:val="2"/>
          </w:tcPr>
          <w:p w:rsidR="00E418D8" w:rsidRDefault="00E418D8">
            <w:pPr>
              <w:pStyle w:val="ConsPlusNormal"/>
              <w:jc w:val="center"/>
            </w:pPr>
            <w:r>
              <w:t>Вода</w:t>
            </w:r>
          </w:p>
        </w:tc>
      </w:tr>
      <w:tr w:rsidR="00E418D8">
        <w:tc>
          <w:tcPr>
            <w:tcW w:w="2552" w:type="dxa"/>
            <w:vMerge/>
          </w:tcPr>
          <w:p w:rsidR="00E418D8" w:rsidRDefault="00E418D8"/>
        </w:tc>
        <w:tc>
          <w:tcPr>
            <w:tcW w:w="1985" w:type="dxa"/>
            <w:vMerge/>
          </w:tcPr>
          <w:p w:rsidR="00E418D8" w:rsidRDefault="00E418D8"/>
        </w:tc>
        <w:tc>
          <w:tcPr>
            <w:tcW w:w="851" w:type="dxa"/>
            <w:vMerge/>
          </w:tcPr>
          <w:p w:rsidR="00E418D8" w:rsidRDefault="00E418D8"/>
        </w:tc>
        <w:tc>
          <w:tcPr>
            <w:tcW w:w="1531" w:type="dxa"/>
          </w:tcPr>
          <w:p w:rsidR="00E418D8" w:rsidRDefault="00E418D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01" w:type="dxa"/>
          </w:tcPr>
          <w:p w:rsidR="00E418D8" w:rsidRDefault="00E418D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418D8">
        <w:tc>
          <w:tcPr>
            <w:tcW w:w="2552" w:type="dxa"/>
            <w:vMerge w:val="restart"/>
          </w:tcPr>
          <w:p w:rsidR="00E418D8" w:rsidRDefault="00E418D8">
            <w:pPr>
              <w:pStyle w:val="ConsPlusNormal"/>
            </w:pPr>
            <w:r>
              <w:t>Государственное унитарное предприятие Ненецкого автономного округа "Нарьян-Марская электростанция"</w:t>
            </w:r>
          </w:p>
        </w:tc>
        <w:tc>
          <w:tcPr>
            <w:tcW w:w="6068" w:type="dxa"/>
            <w:gridSpan w:val="4"/>
          </w:tcPr>
          <w:p w:rsidR="00E418D8" w:rsidRDefault="00E418D8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E418D8">
        <w:tc>
          <w:tcPr>
            <w:tcW w:w="2552" w:type="dxa"/>
            <w:vMerge/>
          </w:tcPr>
          <w:p w:rsidR="00E418D8" w:rsidRDefault="00E418D8"/>
        </w:tc>
        <w:tc>
          <w:tcPr>
            <w:tcW w:w="1985" w:type="dxa"/>
            <w:vMerge w:val="restart"/>
          </w:tcPr>
          <w:p w:rsidR="00E418D8" w:rsidRDefault="00E418D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51" w:type="dxa"/>
          </w:tcPr>
          <w:p w:rsidR="00E418D8" w:rsidRDefault="00E418D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418D8" w:rsidRDefault="00E418D8">
            <w:pPr>
              <w:pStyle w:val="ConsPlusNormal"/>
              <w:jc w:val="center"/>
            </w:pPr>
            <w:r>
              <w:t>3 097,42</w:t>
            </w:r>
          </w:p>
        </w:tc>
        <w:tc>
          <w:tcPr>
            <w:tcW w:w="1701" w:type="dxa"/>
          </w:tcPr>
          <w:p w:rsidR="00E418D8" w:rsidRDefault="00E418D8">
            <w:pPr>
              <w:pStyle w:val="ConsPlusNormal"/>
              <w:jc w:val="center"/>
            </w:pPr>
            <w:r>
              <w:t>3 242,98</w:t>
            </w:r>
          </w:p>
        </w:tc>
      </w:tr>
      <w:tr w:rsidR="00E418D8">
        <w:tc>
          <w:tcPr>
            <w:tcW w:w="2552" w:type="dxa"/>
            <w:vMerge/>
          </w:tcPr>
          <w:p w:rsidR="00E418D8" w:rsidRDefault="00E418D8"/>
        </w:tc>
        <w:tc>
          <w:tcPr>
            <w:tcW w:w="1985" w:type="dxa"/>
            <w:vMerge/>
          </w:tcPr>
          <w:p w:rsidR="00E418D8" w:rsidRDefault="00E418D8"/>
        </w:tc>
        <w:tc>
          <w:tcPr>
            <w:tcW w:w="851" w:type="dxa"/>
          </w:tcPr>
          <w:p w:rsidR="00E418D8" w:rsidRDefault="00E418D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E418D8" w:rsidRDefault="00E418D8">
            <w:pPr>
              <w:pStyle w:val="ConsPlusNormal"/>
              <w:jc w:val="center"/>
            </w:pPr>
            <w:r>
              <w:t>2690,00</w:t>
            </w:r>
          </w:p>
        </w:tc>
        <w:tc>
          <w:tcPr>
            <w:tcW w:w="1701" w:type="dxa"/>
          </w:tcPr>
          <w:p w:rsidR="00E418D8" w:rsidRDefault="00E418D8">
            <w:pPr>
              <w:pStyle w:val="ConsPlusNormal"/>
              <w:jc w:val="center"/>
            </w:pPr>
            <w:r>
              <w:t>2707,89</w:t>
            </w:r>
          </w:p>
        </w:tc>
      </w:tr>
      <w:tr w:rsidR="00E418D8">
        <w:tc>
          <w:tcPr>
            <w:tcW w:w="2552" w:type="dxa"/>
            <w:vMerge/>
          </w:tcPr>
          <w:p w:rsidR="00E418D8" w:rsidRDefault="00E418D8"/>
        </w:tc>
        <w:tc>
          <w:tcPr>
            <w:tcW w:w="1985" w:type="dxa"/>
            <w:vMerge/>
          </w:tcPr>
          <w:p w:rsidR="00E418D8" w:rsidRDefault="00E418D8"/>
        </w:tc>
        <w:tc>
          <w:tcPr>
            <w:tcW w:w="851" w:type="dxa"/>
          </w:tcPr>
          <w:p w:rsidR="00E418D8" w:rsidRDefault="00E418D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E418D8" w:rsidRDefault="00E418D8">
            <w:pPr>
              <w:pStyle w:val="ConsPlusNormal"/>
              <w:jc w:val="center"/>
            </w:pPr>
            <w:r>
              <w:t>3 317,85</w:t>
            </w:r>
          </w:p>
        </w:tc>
        <w:tc>
          <w:tcPr>
            <w:tcW w:w="1701" w:type="dxa"/>
          </w:tcPr>
          <w:p w:rsidR="00E418D8" w:rsidRDefault="00E418D8">
            <w:pPr>
              <w:pStyle w:val="ConsPlusNormal"/>
              <w:jc w:val="center"/>
            </w:pPr>
            <w:r>
              <w:t>3 429,42</w:t>
            </w:r>
          </w:p>
        </w:tc>
      </w:tr>
      <w:tr w:rsidR="00E418D8">
        <w:tc>
          <w:tcPr>
            <w:tcW w:w="2552" w:type="dxa"/>
            <w:vMerge/>
          </w:tcPr>
          <w:p w:rsidR="00E418D8" w:rsidRDefault="00E418D8"/>
        </w:tc>
        <w:tc>
          <w:tcPr>
            <w:tcW w:w="1985" w:type="dxa"/>
            <w:vMerge/>
          </w:tcPr>
          <w:p w:rsidR="00E418D8" w:rsidRDefault="00E418D8"/>
        </w:tc>
        <w:tc>
          <w:tcPr>
            <w:tcW w:w="851" w:type="dxa"/>
          </w:tcPr>
          <w:p w:rsidR="00E418D8" w:rsidRDefault="00E418D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E418D8" w:rsidRDefault="00E418D8">
            <w:pPr>
              <w:pStyle w:val="ConsPlusNormal"/>
              <w:jc w:val="center"/>
            </w:pPr>
            <w:r>
              <w:t>3 429,42</w:t>
            </w:r>
          </w:p>
        </w:tc>
        <w:tc>
          <w:tcPr>
            <w:tcW w:w="1701" w:type="dxa"/>
          </w:tcPr>
          <w:p w:rsidR="00E418D8" w:rsidRDefault="00E418D8">
            <w:pPr>
              <w:pStyle w:val="ConsPlusNormal"/>
              <w:jc w:val="center"/>
            </w:pPr>
            <w:r>
              <w:t>3 497,76</w:t>
            </w:r>
          </w:p>
        </w:tc>
      </w:tr>
      <w:tr w:rsidR="00E418D8">
        <w:tc>
          <w:tcPr>
            <w:tcW w:w="2552" w:type="dxa"/>
            <w:vMerge/>
          </w:tcPr>
          <w:p w:rsidR="00E418D8" w:rsidRDefault="00E418D8"/>
        </w:tc>
        <w:tc>
          <w:tcPr>
            <w:tcW w:w="1985" w:type="dxa"/>
            <w:vMerge/>
          </w:tcPr>
          <w:p w:rsidR="00E418D8" w:rsidRDefault="00E418D8"/>
        </w:tc>
        <w:tc>
          <w:tcPr>
            <w:tcW w:w="851" w:type="dxa"/>
          </w:tcPr>
          <w:p w:rsidR="00E418D8" w:rsidRDefault="00E418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E418D8" w:rsidRDefault="00E418D8">
            <w:pPr>
              <w:pStyle w:val="ConsPlusNormal"/>
              <w:jc w:val="center"/>
            </w:pPr>
            <w:r>
              <w:t>3 497,76</w:t>
            </w:r>
          </w:p>
        </w:tc>
        <w:tc>
          <w:tcPr>
            <w:tcW w:w="1701" w:type="dxa"/>
          </w:tcPr>
          <w:p w:rsidR="00E418D8" w:rsidRDefault="00E418D8">
            <w:pPr>
              <w:pStyle w:val="ConsPlusNormal"/>
              <w:jc w:val="center"/>
            </w:pPr>
            <w:r>
              <w:t>3 630,96</w:t>
            </w:r>
          </w:p>
        </w:tc>
      </w:tr>
    </w:tbl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right"/>
        <w:outlineLvl w:val="0"/>
      </w:pPr>
      <w:r>
        <w:t>Приложение 3</w:t>
      </w:r>
    </w:p>
    <w:p w:rsidR="00E418D8" w:rsidRDefault="00E418D8">
      <w:pPr>
        <w:pStyle w:val="ConsPlusNormal"/>
        <w:jc w:val="right"/>
      </w:pPr>
      <w:r>
        <w:t>к приказу Управления по государственному</w:t>
      </w:r>
    </w:p>
    <w:p w:rsidR="00E418D8" w:rsidRDefault="00E418D8">
      <w:pPr>
        <w:pStyle w:val="ConsPlusNormal"/>
        <w:jc w:val="right"/>
      </w:pPr>
      <w:r>
        <w:t>регулированию цен (тарифов)</w:t>
      </w:r>
    </w:p>
    <w:p w:rsidR="00E418D8" w:rsidRDefault="00E418D8">
      <w:pPr>
        <w:pStyle w:val="ConsPlusNormal"/>
        <w:jc w:val="right"/>
      </w:pPr>
      <w:r>
        <w:t>Ненецкого автономного округа</w:t>
      </w:r>
    </w:p>
    <w:p w:rsidR="00E418D8" w:rsidRDefault="00E418D8">
      <w:pPr>
        <w:pStyle w:val="ConsPlusNormal"/>
        <w:jc w:val="right"/>
      </w:pPr>
      <w:r>
        <w:t>от 12.12.2018 N 52</w:t>
      </w:r>
    </w:p>
    <w:p w:rsidR="00E418D8" w:rsidRDefault="00E418D8">
      <w:pPr>
        <w:pStyle w:val="ConsPlusNormal"/>
        <w:jc w:val="right"/>
      </w:pPr>
      <w:r>
        <w:t>"Об установлении долгосрочных параметров</w:t>
      </w:r>
    </w:p>
    <w:p w:rsidR="00E418D8" w:rsidRDefault="00E418D8">
      <w:pPr>
        <w:pStyle w:val="ConsPlusNormal"/>
        <w:jc w:val="right"/>
      </w:pPr>
      <w:r>
        <w:t>регулирования и тарифов в сфере</w:t>
      </w:r>
    </w:p>
    <w:p w:rsidR="00E418D8" w:rsidRDefault="00E418D8">
      <w:pPr>
        <w:pStyle w:val="ConsPlusNormal"/>
        <w:jc w:val="right"/>
      </w:pPr>
      <w:r>
        <w:t xml:space="preserve">теплоснабжения </w:t>
      </w:r>
      <w:proofErr w:type="gramStart"/>
      <w:r>
        <w:t>для</w:t>
      </w:r>
      <w:proofErr w:type="gramEnd"/>
      <w:r>
        <w:t xml:space="preserve"> государственного</w:t>
      </w:r>
    </w:p>
    <w:p w:rsidR="00E418D8" w:rsidRDefault="00E418D8">
      <w:pPr>
        <w:pStyle w:val="ConsPlusNormal"/>
        <w:jc w:val="right"/>
      </w:pPr>
      <w:r>
        <w:t>унитарного предприятия Ненецкого</w:t>
      </w:r>
    </w:p>
    <w:p w:rsidR="00E418D8" w:rsidRDefault="00E418D8">
      <w:pPr>
        <w:pStyle w:val="ConsPlusNormal"/>
        <w:jc w:val="right"/>
      </w:pPr>
      <w:r>
        <w:t>автономного округа "Нарьян-Марская</w:t>
      </w:r>
    </w:p>
    <w:p w:rsidR="00E418D8" w:rsidRDefault="00E418D8">
      <w:pPr>
        <w:pStyle w:val="ConsPlusNormal"/>
        <w:jc w:val="right"/>
      </w:pPr>
      <w:r>
        <w:t xml:space="preserve">электростанция" на </w:t>
      </w:r>
      <w:proofErr w:type="gramStart"/>
      <w:r>
        <w:t>долгосрочный</w:t>
      </w:r>
      <w:proofErr w:type="gramEnd"/>
    </w:p>
    <w:p w:rsidR="00E418D8" w:rsidRDefault="00E418D8">
      <w:pPr>
        <w:pStyle w:val="ConsPlusNormal"/>
        <w:jc w:val="right"/>
      </w:pPr>
      <w:r>
        <w:t>период регулирования 2019 - 2023 годов"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Title"/>
        <w:jc w:val="center"/>
      </w:pPr>
      <w:bookmarkStart w:id="3" w:name="P153"/>
      <w:bookmarkEnd w:id="3"/>
      <w:r>
        <w:t>ЛЬГОТНЫЕ ТАРИФЫ</w:t>
      </w:r>
    </w:p>
    <w:p w:rsidR="00E418D8" w:rsidRDefault="00E418D8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E418D8" w:rsidRDefault="00E418D8">
      <w:pPr>
        <w:pStyle w:val="ConsPlusTitle"/>
        <w:jc w:val="center"/>
      </w:pPr>
      <w:r>
        <w:t>И ПОТРЕБИТЕЛЯМ, ПРИРАВНЕННЫМ К НАСЕЛЕНИЮ</w:t>
      </w:r>
    </w:p>
    <w:p w:rsidR="00E418D8" w:rsidRDefault="00E418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8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8D8" w:rsidRDefault="00E418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НАО от 12.12.2019 N 76)</w:t>
            </w:r>
          </w:p>
        </w:tc>
      </w:tr>
    </w:tbl>
    <w:p w:rsidR="00E418D8" w:rsidRDefault="00E418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134"/>
        <w:gridCol w:w="1474"/>
        <w:gridCol w:w="1417"/>
      </w:tblGrid>
      <w:tr w:rsidR="00E418D8">
        <w:tc>
          <w:tcPr>
            <w:tcW w:w="2268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134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91" w:type="dxa"/>
            <w:gridSpan w:val="2"/>
          </w:tcPr>
          <w:p w:rsidR="00E418D8" w:rsidRDefault="00E418D8">
            <w:pPr>
              <w:pStyle w:val="ConsPlusNormal"/>
              <w:jc w:val="center"/>
            </w:pPr>
            <w:r>
              <w:t>Вода</w:t>
            </w:r>
          </w:p>
        </w:tc>
      </w:tr>
      <w:tr w:rsidR="00E418D8">
        <w:tc>
          <w:tcPr>
            <w:tcW w:w="2268" w:type="dxa"/>
            <w:vMerge/>
          </w:tcPr>
          <w:p w:rsidR="00E418D8" w:rsidRDefault="00E418D8"/>
        </w:tc>
        <w:tc>
          <w:tcPr>
            <w:tcW w:w="2268" w:type="dxa"/>
            <w:vMerge/>
          </w:tcPr>
          <w:p w:rsidR="00E418D8" w:rsidRDefault="00E418D8"/>
        </w:tc>
        <w:tc>
          <w:tcPr>
            <w:tcW w:w="1134" w:type="dxa"/>
            <w:vMerge/>
          </w:tcPr>
          <w:p w:rsidR="00E418D8" w:rsidRDefault="00E418D8"/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E418D8" w:rsidRDefault="00E418D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418D8">
        <w:tc>
          <w:tcPr>
            <w:tcW w:w="2268" w:type="dxa"/>
            <w:vMerge w:val="restart"/>
          </w:tcPr>
          <w:p w:rsidR="00E418D8" w:rsidRDefault="00E418D8">
            <w:pPr>
              <w:pStyle w:val="ConsPlusNormal"/>
            </w:pPr>
            <w:r>
              <w:t>Государственное унитарное предприятие Ненецкого автономного округа "Нарьян-Марская электростанция"</w:t>
            </w:r>
          </w:p>
        </w:tc>
        <w:tc>
          <w:tcPr>
            <w:tcW w:w="6293" w:type="dxa"/>
            <w:gridSpan w:val="4"/>
          </w:tcPr>
          <w:p w:rsidR="00E418D8" w:rsidRDefault="00E418D8">
            <w:pPr>
              <w:pStyle w:val="ConsPlusNormal"/>
            </w:pPr>
            <w:r>
              <w:t>Население, проживающее в двухэтажных многоквартирных жилых домах до 1999 года постройки включительно, не оборудованных общедомовыми приборами учета тепловой энергии, и потребители, приравненные к населению, (тарифы указываются с учетом НДС) &lt;*&gt;</w:t>
            </w:r>
          </w:p>
        </w:tc>
      </w:tr>
      <w:tr w:rsidR="00E418D8">
        <w:tc>
          <w:tcPr>
            <w:tcW w:w="2268" w:type="dxa"/>
            <w:vMerge/>
          </w:tcPr>
          <w:p w:rsidR="00E418D8" w:rsidRDefault="00E418D8"/>
        </w:tc>
        <w:tc>
          <w:tcPr>
            <w:tcW w:w="2268" w:type="dxa"/>
            <w:vMerge w:val="restart"/>
          </w:tcPr>
          <w:p w:rsidR="00E418D8" w:rsidRDefault="00E418D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1 463,76</w:t>
            </w:r>
          </w:p>
        </w:tc>
        <w:tc>
          <w:tcPr>
            <w:tcW w:w="1417" w:type="dxa"/>
          </w:tcPr>
          <w:p w:rsidR="00E418D8" w:rsidRDefault="00E418D8">
            <w:pPr>
              <w:pStyle w:val="ConsPlusNormal"/>
              <w:jc w:val="center"/>
            </w:pPr>
            <w:r>
              <w:t>1 498,89</w:t>
            </w:r>
          </w:p>
        </w:tc>
      </w:tr>
      <w:tr w:rsidR="00E418D8">
        <w:tc>
          <w:tcPr>
            <w:tcW w:w="2268" w:type="dxa"/>
            <w:vMerge/>
          </w:tcPr>
          <w:p w:rsidR="00E418D8" w:rsidRDefault="00E418D8"/>
        </w:tc>
        <w:tc>
          <w:tcPr>
            <w:tcW w:w="2268" w:type="dxa"/>
            <w:vMerge/>
          </w:tcPr>
          <w:p w:rsidR="00E418D8" w:rsidRDefault="00E418D8"/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1 498,89</w:t>
            </w:r>
          </w:p>
        </w:tc>
        <w:tc>
          <w:tcPr>
            <w:tcW w:w="1417" w:type="dxa"/>
          </w:tcPr>
          <w:p w:rsidR="00E418D8" w:rsidRDefault="00E418D8">
            <w:pPr>
              <w:pStyle w:val="ConsPlusNormal"/>
              <w:jc w:val="center"/>
            </w:pPr>
            <w:r>
              <w:t>1 534,86</w:t>
            </w:r>
          </w:p>
        </w:tc>
      </w:tr>
      <w:tr w:rsidR="00E418D8">
        <w:tc>
          <w:tcPr>
            <w:tcW w:w="2268" w:type="dxa"/>
            <w:vMerge/>
          </w:tcPr>
          <w:p w:rsidR="00E418D8" w:rsidRDefault="00E418D8"/>
        </w:tc>
        <w:tc>
          <w:tcPr>
            <w:tcW w:w="2268" w:type="dxa"/>
            <w:vMerge/>
          </w:tcPr>
          <w:p w:rsidR="00E418D8" w:rsidRDefault="00E418D8"/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1 534,86</w:t>
            </w:r>
          </w:p>
        </w:tc>
        <w:tc>
          <w:tcPr>
            <w:tcW w:w="1417" w:type="dxa"/>
          </w:tcPr>
          <w:p w:rsidR="00E418D8" w:rsidRDefault="00E418D8">
            <w:pPr>
              <w:pStyle w:val="ConsPlusNormal"/>
              <w:jc w:val="center"/>
            </w:pPr>
            <w:r>
              <w:t>1 571,70</w:t>
            </w:r>
          </w:p>
        </w:tc>
      </w:tr>
      <w:tr w:rsidR="00E418D8">
        <w:tc>
          <w:tcPr>
            <w:tcW w:w="2268" w:type="dxa"/>
            <w:vMerge/>
          </w:tcPr>
          <w:p w:rsidR="00E418D8" w:rsidRDefault="00E418D8"/>
        </w:tc>
        <w:tc>
          <w:tcPr>
            <w:tcW w:w="2268" w:type="dxa"/>
            <w:vMerge/>
          </w:tcPr>
          <w:p w:rsidR="00E418D8" w:rsidRDefault="00E418D8"/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1 571,70</w:t>
            </w:r>
          </w:p>
        </w:tc>
        <w:tc>
          <w:tcPr>
            <w:tcW w:w="1417" w:type="dxa"/>
          </w:tcPr>
          <w:p w:rsidR="00E418D8" w:rsidRDefault="00E418D8">
            <w:pPr>
              <w:pStyle w:val="ConsPlusNormal"/>
              <w:jc w:val="center"/>
            </w:pPr>
            <w:r>
              <w:t>1 609,42</w:t>
            </w:r>
          </w:p>
        </w:tc>
      </w:tr>
      <w:tr w:rsidR="00E418D8">
        <w:tc>
          <w:tcPr>
            <w:tcW w:w="2268" w:type="dxa"/>
            <w:vMerge/>
          </w:tcPr>
          <w:p w:rsidR="00E418D8" w:rsidRDefault="00E418D8"/>
        </w:tc>
        <w:tc>
          <w:tcPr>
            <w:tcW w:w="2268" w:type="dxa"/>
            <w:vMerge/>
          </w:tcPr>
          <w:p w:rsidR="00E418D8" w:rsidRDefault="00E418D8"/>
        </w:tc>
        <w:tc>
          <w:tcPr>
            <w:tcW w:w="1134" w:type="dxa"/>
          </w:tcPr>
          <w:p w:rsidR="00E418D8" w:rsidRDefault="00E418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1 609,42</w:t>
            </w:r>
          </w:p>
        </w:tc>
        <w:tc>
          <w:tcPr>
            <w:tcW w:w="1417" w:type="dxa"/>
          </w:tcPr>
          <w:p w:rsidR="00E418D8" w:rsidRDefault="00E418D8">
            <w:pPr>
              <w:pStyle w:val="ConsPlusNormal"/>
              <w:jc w:val="center"/>
            </w:pPr>
            <w:r>
              <w:t>1 648,05</w:t>
            </w:r>
          </w:p>
        </w:tc>
      </w:tr>
    </w:tbl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ind w:firstLine="540"/>
        <w:jc w:val="both"/>
      </w:pPr>
      <w:r>
        <w:t>--------------------------------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ind w:firstLine="540"/>
        <w:jc w:val="both"/>
      </w:pPr>
      <w:r>
        <w:t>Примечание: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01.01.2019 по 30.06.2019 - 3 097,42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01.07.2019 по 31.12.2019 - 3 242,98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01.01.2020 по 30.06.2020 - 2 690,00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01.07.2020 по 31.12.2020 - 2 707,89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01.01.2021 по 30.06.2021 - 3 317,85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01.07.2021 по 31.12.2021 - 3 429,42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01.01.2022 по 30.06.2022 - 3 429,42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01.07.2022 по 31.12.2022 - 3 497,76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01.01.2023 по 30.06.2023 - 3 497,76 руб./Гкал;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на период с 01.07.2023 по 31.12.2023 - 3 630,96 руб./Гкал.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 xml:space="preserve">2. Льготные тарифы для населения и потребителей, приравненных к населению, </w:t>
      </w:r>
      <w:r>
        <w:lastRenderedPageBreak/>
        <w:t>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right"/>
        <w:outlineLvl w:val="0"/>
      </w:pPr>
      <w:r>
        <w:t>Приложение 4</w:t>
      </w:r>
    </w:p>
    <w:p w:rsidR="00E418D8" w:rsidRDefault="00E418D8">
      <w:pPr>
        <w:pStyle w:val="ConsPlusNormal"/>
        <w:jc w:val="right"/>
      </w:pPr>
      <w:r>
        <w:t>к приказу Управления по государственному</w:t>
      </w:r>
    </w:p>
    <w:p w:rsidR="00E418D8" w:rsidRDefault="00E418D8">
      <w:pPr>
        <w:pStyle w:val="ConsPlusNormal"/>
        <w:jc w:val="right"/>
      </w:pPr>
      <w:r>
        <w:t>регулированию цен (тарифов)</w:t>
      </w:r>
    </w:p>
    <w:p w:rsidR="00E418D8" w:rsidRDefault="00E418D8">
      <w:pPr>
        <w:pStyle w:val="ConsPlusNormal"/>
        <w:jc w:val="right"/>
      </w:pPr>
      <w:r>
        <w:t>Ненецкого автономного округа</w:t>
      </w:r>
    </w:p>
    <w:p w:rsidR="00E418D8" w:rsidRDefault="00E418D8">
      <w:pPr>
        <w:pStyle w:val="ConsPlusNormal"/>
        <w:jc w:val="right"/>
      </w:pPr>
      <w:r>
        <w:t>от 12.12.2018 N 52</w:t>
      </w:r>
    </w:p>
    <w:p w:rsidR="00E418D8" w:rsidRDefault="00E418D8">
      <w:pPr>
        <w:pStyle w:val="ConsPlusNormal"/>
        <w:jc w:val="right"/>
      </w:pPr>
      <w:r>
        <w:t>"Об установлении долгосрочных параметров</w:t>
      </w:r>
    </w:p>
    <w:p w:rsidR="00E418D8" w:rsidRDefault="00E418D8">
      <w:pPr>
        <w:pStyle w:val="ConsPlusNormal"/>
        <w:jc w:val="right"/>
      </w:pPr>
      <w:r>
        <w:t>регулирования и тарифов в сфере</w:t>
      </w:r>
    </w:p>
    <w:p w:rsidR="00E418D8" w:rsidRDefault="00E418D8">
      <w:pPr>
        <w:pStyle w:val="ConsPlusNormal"/>
        <w:jc w:val="right"/>
      </w:pPr>
      <w:r>
        <w:t xml:space="preserve">теплоснабжения </w:t>
      </w:r>
      <w:proofErr w:type="gramStart"/>
      <w:r>
        <w:t>для</w:t>
      </w:r>
      <w:proofErr w:type="gramEnd"/>
      <w:r>
        <w:t xml:space="preserve"> государственного</w:t>
      </w:r>
    </w:p>
    <w:p w:rsidR="00E418D8" w:rsidRDefault="00E418D8">
      <w:pPr>
        <w:pStyle w:val="ConsPlusNormal"/>
        <w:jc w:val="right"/>
      </w:pPr>
      <w:r>
        <w:t>унитарного предприятия Ненецкого</w:t>
      </w:r>
    </w:p>
    <w:p w:rsidR="00E418D8" w:rsidRDefault="00E418D8">
      <w:pPr>
        <w:pStyle w:val="ConsPlusNormal"/>
        <w:jc w:val="right"/>
      </w:pPr>
      <w:r>
        <w:t>автономного округа "Нарьян-Марская</w:t>
      </w:r>
    </w:p>
    <w:p w:rsidR="00E418D8" w:rsidRDefault="00E418D8">
      <w:pPr>
        <w:pStyle w:val="ConsPlusNormal"/>
        <w:jc w:val="right"/>
      </w:pPr>
      <w:r>
        <w:t xml:space="preserve">электростанция" на </w:t>
      </w:r>
      <w:proofErr w:type="gramStart"/>
      <w:r>
        <w:t>долгосрочный</w:t>
      </w:r>
      <w:proofErr w:type="gramEnd"/>
    </w:p>
    <w:p w:rsidR="00E418D8" w:rsidRDefault="00E418D8">
      <w:pPr>
        <w:pStyle w:val="ConsPlusNormal"/>
        <w:jc w:val="right"/>
      </w:pPr>
      <w:r>
        <w:t>период регулирования 2019 - 2023 годов"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Title"/>
        <w:jc w:val="center"/>
      </w:pPr>
      <w:bookmarkStart w:id="4" w:name="P219"/>
      <w:bookmarkEnd w:id="4"/>
      <w:r>
        <w:t>ТАРИФЫ</w:t>
      </w:r>
    </w:p>
    <w:p w:rsidR="00E418D8" w:rsidRDefault="00E418D8">
      <w:pPr>
        <w:pStyle w:val="ConsPlusTitle"/>
        <w:jc w:val="center"/>
      </w:pPr>
      <w:r>
        <w:t>НА ТЕПЛОНОСИТЕЛЬ, ПОСТАВЛЯЕМЫЙ НАСЕЛЕНИЮ И ПОТРЕБИТЕЛЯМ,</w:t>
      </w:r>
    </w:p>
    <w:p w:rsidR="00E418D8" w:rsidRDefault="00E418D8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</w:t>
      </w:r>
    </w:p>
    <w:p w:rsidR="00E418D8" w:rsidRDefault="00E418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8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8D8" w:rsidRDefault="00E418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НАО от 12.12.2019 N 76)</w:t>
            </w:r>
          </w:p>
        </w:tc>
      </w:tr>
    </w:tbl>
    <w:p w:rsidR="00E418D8" w:rsidRDefault="00E418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126"/>
        <w:gridCol w:w="992"/>
        <w:gridCol w:w="1361"/>
        <w:gridCol w:w="1587"/>
      </w:tblGrid>
      <w:tr w:rsidR="00E418D8">
        <w:tc>
          <w:tcPr>
            <w:tcW w:w="2778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992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gridSpan w:val="2"/>
          </w:tcPr>
          <w:p w:rsidR="00E418D8" w:rsidRDefault="00E418D8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E418D8">
        <w:tc>
          <w:tcPr>
            <w:tcW w:w="2778" w:type="dxa"/>
            <w:vMerge/>
          </w:tcPr>
          <w:p w:rsidR="00E418D8" w:rsidRDefault="00E418D8"/>
        </w:tc>
        <w:tc>
          <w:tcPr>
            <w:tcW w:w="2126" w:type="dxa"/>
            <w:vMerge/>
          </w:tcPr>
          <w:p w:rsidR="00E418D8" w:rsidRDefault="00E418D8"/>
        </w:tc>
        <w:tc>
          <w:tcPr>
            <w:tcW w:w="992" w:type="dxa"/>
            <w:vMerge/>
          </w:tcPr>
          <w:p w:rsidR="00E418D8" w:rsidRDefault="00E418D8"/>
        </w:tc>
        <w:tc>
          <w:tcPr>
            <w:tcW w:w="2948" w:type="dxa"/>
            <w:gridSpan w:val="2"/>
          </w:tcPr>
          <w:p w:rsidR="00E418D8" w:rsidRDefault="00E418D8">
            <w:pPr>
              <w:pStyle w:val="ConsPlusNormal"/>
              <w:jc w:val="center"/>
            </w:pPr>
            <w:r>
              <w:t>вода</w:t>
            </w:r>
          </w:p>
        </w:tc>
      </w:tr>
      <w:tr w:rsidR="00E418D8">
        <w:tc>
          <w:tcPr>
            <w:tcW w:w="2778" w:type="dxa"/>
            <w:vMerge/>
          </w:tcPr>
          <w:p w:rsidR="00E418D8" w:rsidRDefault="00E418D8"/>
        </w:tc>
        <w:tc>
          <w:tcPr>
            <w:tcW w:w="2126" w:type="dxa"/>
            <w:vMerge/>
          </w:tcPr>
          <w:p w:rsidR="00E418D8" w:rsidRDefault="00E418D8"/>
        </w:tc>
        <w:tc>
          <w:tcPr>
            <w:tcW w:w="992" w:type="dxa"/>
            <w:vMerge/>
          </w:tcPr>
          <w:p w:rsidR="00E418D8" w:rsidRDefault="00E418D8"/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418D8">
        <w:tc>
          <w:tcPr>
            <w:tcW w:w="2778" w:type="dxa"/>
            <w:vMerge w:val="restart"/>
          </w:tcPr>
          <w:p w:rsidR="00E418D8" w:rsidRDefault="00E418D8">
            <w:pPr>
              <w:pStyle w:val="ConsPlusNormal"/>
            </w:pPr>
            <w:r>
              <w:t>Государственное унитарное предприятие Ненецкого автономного округа "Нарьян-Марская электростанция"</w:t>
            </w:r>
          </w:p>
        </w:tc>
        <w:tc>
          <w:tcPr>
            <w:tcW w:w="6066" w:type="dxa"/>
            <w:gridSpan w:val="4"/>
          </w:tcPr>
          <w:p w:rsidR="00E418D8" w:rsidRDefault="00E418D8">
            <w:pPr>
              <w:pStyle w:val="ConsPlusNormal"/>
              <w:jc w:val="center"/>
            </w:pPr>
            <w:r>
              <w:t>Тариф на теплоноситель, поставляемый населению и потребителям, приравненным к населению (тарифы указываются с учетом НДС) *</w:t>
            </w:r>
          </w:p>
        </w:tc>
      </w:tr>
      <w:tr w:rsidR="00E418D8">
        <w:tc>
          <w:tcPr>
            <w:tcW w:w="2778" w:type="dxa"/>
            <w:vMerge/>
          </w:tcPr>
          <w:p w:rsidR="00E418D8" w:rsidRDefault="00E418D8"/>
        </w:tc>
        <w:tc>
          <w:tcPr>
            <w:tcW w:w="2126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992" w:type="dxa"/>
          </w:tcPr>
          <w:p w:rsidR="00E418D8" w:rsidRDefault="00E418D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1,84</w:t>
            </w:r>
          </w:p>
        </w:tc>
      </w:tr>
      <w:tr w:rsidR="00E418D8">
        <w:tc>
          <w:tcPr>
            <w:tcW w:w="2778" w:type="dxa"/>
            <w:vMerge/>
          </w:tcPr>
          <w:p w:rsidR="00E418D8" w:rsidRDefault="00E418D8"/>
        </w:tc>
        <w:tc>
          <w:tcPr>
            <w:tcW w:w="2126" w:type="dxa"/>
            <w:vMerge/>
          </w:tcPr>
          <w:p w:rsidR="00E418D8" w:rsidRDefault="00E418D8"/>
        </w:tc>
        <w:tc>
          <w:tcPr>
            <w:tcW w:w="992" w:type="dxa"/>
          </w:tcPr>
          <w:p w:rsidR="00E418D8" w:rsidRDefault="00E418D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1,84</w:t>
            </w:r>
          </w:p>
        </w:tc>
      </w:tr>
      <w:tr w:rsidR="00E418D8">
        <w:tc>
          <w:tcPr>
            <w:tcW w:w="2778" w:type="dxa"/>
            <w:vMerge/>
          </w:tcPr>
          <w:p w:rsidR="00E418D8" w:rsidRDefault="00E418D8"/>
        </w:tc>
        <w:tc>
          <w:tcPr>
            <w:tcW w:w="2126" w:type="dxa"/>
            <w:vMerge/>
          </w:tcPr>
          <w:p w:rsidR="00E418D8" w:rsidRDefault="00E418D8"/>
        </w:tc>
        <w:tc>
          <w:tcPr>
            <w:tcW w:w="992" w:type="dxa"/>
          </w:tcPr>
          <w:p w:rsidR="00E418D8" w:rsidRDefault="00E418D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1,98</w:t>
            </w:r>
          </w:p>
        </w:tc>
      </w:tr>
      <w:tr w:rsidR="00E418D8">
        <w:tc>
          <w:tcPr>
            <w:tcW w:w="2778" w:type="dxa"/>
            <w:vMerge/>
          </w:tcPr>
          <w:p w:rsidR="00E418D8" w:rsidRDefault="00E418D8"/>
        </w:tc>
        <w:tc>
          <w:tcPr>
            <w:tcW w:w="2126" w:type="dxa"/>
            <w:vMerge/>
          </w:tcPr>
          <w:p w:rsidR="00E418D8" w:rsidRDefault="00E418D8"/>
        </w:tc>
        <w:tc>
          <w:tcPr>
            <w:tcW w:w="992" w:type="dxa"/>
          </w:tcPr>
          <w:p w:rsidR="00E418D8" w:rsidRDefault="00E418D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2,02</w:t>
            </w:r>
          </w:p>
        </w:tc>
      </w:tr>
      <w:tr w:rsidR="00E418D8">
        <w:tc>
          <w:tcPr>
            <w:tcW w:w="2778" w:type="dxa"/>
            <w:vMerge/>
          </w:tcPr>
          <w:p w:rsidR="00E418D8" w:rsidRDefault="00E418D8"/>
        </w:tc>
        <w:tc>
          <w:tcPr>
            <w:tcW w:w="2126" w:type="dxa"/>
            <w:vMerge/>
          </w:tcPr>
          <w:p w:rsidR="00E418D8" w:rsidRDefault="00E418D8"/>
        </w:tc>
        <w:tc>
          <w:tcPr>
            <w:tcW w:w="992" w:type="dxa"/>
          </w:tcPr>
          <w:p w:rsidR="00E418D8" w:rsidRDefault="00E418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2,14</w:t>
            </w:r>
          </w:p>
        </w:tc>
      </w:tr>
    </w:tbl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ind w:firstLine="540"/>
        <w:jc w:val="both"/>
      </w:pPr>
      <w:r>
        <w:t>--------------------------------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right"/>
        <w:outlineLvl w:val="0"/>
      </w:pPr>
      <w:r>
        <w:t>Приложение 5</w:t>
      </w:r>
    </w:p>
    <w:p w:rsidR="00E418D8" w:rsidRDefault="00E418D8">
      <w:pPr>
        <w:pStyle w:val="ConsPlusNormal"/>
        <w:jc w:val="right"/>
      </w:pPr>
      <w:r>
        <w:t>к приказу Управления по государственному</w:t>
      </w:r>
    </w:p>
    <w:p w:rsidR="00E418D8" w:rsidRDefault="00E418D8">
      <w:pPr>
        <w:pStyle w:val="ConsPlusNormal"/>
        <w:jc w:val="right"/>
      </w:pPr>
      <w:r>
        <w:t>регулированию цен (тарифов)</w:t>
      </w:r>
    </w:p>
    <w:p w:rsidR="00E418D8" w:rsidRDefault="00E418D8">
      <w:pPr>
        <w:pStyle w:val="ConsPlusNormal"/>
        <w:jc w:val="right"/>
      </w:pPr>
      <w:r>
        <w:t>Ненецкого автономного округа</w:t>
      </w:r>
    </w:p>
    <w:p w:rsidR="00E418D8" w:rsidRDefault="00E418D8">
      <w:pPr>
        <w:pStyle w:val="ConsPlusNormal"/>
        <w:jc w:val="right"/>
      </w:pPr>
      <w:r>
        <w:t>от 12.12.2018 N 52</w:t>
      </w:r>
    </w:p>
    <w:p w:rsidR="00E418D8" w:rsidRDefault="00E418D8">
      <w:pPr>
        <w:pStyle w:val="ConsPlusNormal"/>
        <w:jc w:val="right"/>
      </w:pPr>
      <w:r>
        <w:t>"Об установлении долгосрочных параметров</w:t>
      </w:r>
    </w:p>
    <w:p w:rsidR="00E418D8" w:rsidRDefault="00E418D8">
      <w:pPr>
        <w:pStyle w:val="ConsPlusNormal"/>
        <w:jc w:val="right"/>
      </w:pPr>
      <w:r>
        <w:t>регулирования и тарифов в сфере</w:t>
      </w:r>
    </w:p>
    <w:p w:rsidR="00E418D8" w:rsidRDefault="00E418D8">
      <w:pPr>
        <w:pStyle w:val="ConsPlusNormal"/>
        <w:jc w:val="right"/>
      </w:pPr>
      <w:r>
        <w:t xml:space="preserve">теплоснабжения </w:t>
      </w:r>
      <w:proofErr w:type="gramStart"/>
      <w:r>
        <w:t>для</w:t>
      </w:r>
      <w:proofErr w:type="gramEnd"/>
      <w:r>
        <w:t xml:space="preserve"> государственного</w:t>
      </w:r>
    </w:p>
    <w:p w:rsidR="00E418D8" w:rsidRDefault="00E418D8">
      <w:pPr>
        <w:pStyle w:val="ConsPlusNormal"/>
        <w:jc w:val="right"/>
      </w:pPr>
      <w:r>
        <w:t>унитарного предприятия Ненецкого</w:t>
      </w:r>
    </w:p>
    <w:p w:rsidR="00E418D8" w:rsidRDefault="00E418D8">
      <w:pPr>
        <w:pStyle w:val="ConsPlusNormal"/>
        <w:jc w:val="right"/>
      </w:pPr>
      <w:r>
        <w:t>автономного округа "Нарьян-Марская</w:t>
      </w:r>
    </w:p>
    <w:p w:rsidR="00E418D8" w:rsidRDefault="00E418D8">
      <w:pPr>
        <w:pStyle w:val="ConsPlusNormal"/>
        <w:jc w:val="right"/>
      </w:pPr>
      <w:r>
        <w:t xml:space="preserve">электростанция" на </w:t>
      </w:r>
      <w:proofErr w:type="gramStart"/>
      <w:r>
        <w:t>долгосрочный</w:t>
      </w:r>
      <w:proofErr w:type="gramEnd"/>
    </w:p>
    <w:p w:rsidR="00E418D8" w:rsidRDefault="00E418D8">
      <w:pPr>
        <w:pStyle w:val="ConsPlusNormal"/>
        <w:jc w:val="right"/>
      </w:pPr>
      <w:r>
        <w:t>период регулирования 2019 - 2023 годов"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Title"/>
        <w:jc w:val="center"/>
      </w:pPr>
      <w:bookmarkStart w:id="5" w:name="P272"/>
      <w:bookmarkEnd w:id="5"/>
      <w:r>
        <w:t>ТАРИФЫ</w:t>
      </w:r>
    </w:p>
    <w:p w:rsidR="00E418D8" w:rsidRDefault="00E418D8">
      <w:pPr>
        <w:pStyle w:val="ConsPlusTitle"/>
        <w:jc w:val="center"/>
      </w:pPr>
      <w:proofErr w:type="gramStart"/>
      <w:r>
        <w:t>НА ГОРЯЧУЮ ВОДУ В ОТКРЫТЫХ СИСТЕМАХ ТЕПЛОСНАБЖЕНИЯ (ГОРЯЧЕЕ</w:t>
      </w:r>
      <w:proofErr w:type="gramEnd"/>
    </w:p>
    <w:p w:rsidR="00E418D8" w:rsidRDefault="00E418D8">
      <w:pPr>
        <w:pStyle w:val="ConsPlusTitle"/>
        <w:jc w:val="center"/>
      </w:pPr>
      <w:proofErr w:type="gramStart"/>
      <w:r>
        <w:t>ВОДОСНАБЖЕНИЕ), ПОСТАВЛЯЕМУЮ НАСЕЛЕНИЮ И ПОТРЕБИТЕЛЯМ,</w:t>
      </w:r>
      <w:proofErr w:type="gramEnd"/>
    </w:p>
    <w:p w:rsidR="00E418D8" w:rsidRDefault="00E418D8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</w:t>
      </w:r>
    </w:p>
    <w:p w:rsidR="00E418D8" w:rsidRDefault="00E418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8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8D8" w:rsidRDefault="00E418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418D8" w:rsidRDefault="00E418D8">
            <w:pPr>
              <w:pStyle w:val="ConsPlusNormal"/>
              <w:jc w:val="center"/>
            </w:pPr>
            <w:r>
              <w:rPr>
                <w:color w:val="392C69"/>
              </w:rPr>
              <w:t>НАО от 12.12.2019 N 76)</w:t>
            </w:r>
          </w:p>
        </w:tc>
      </w:tr>
    </w:tbl>
    <w:p w:rsidR="00E418D8" w:rsidRDefault="00E418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"/>
        <w:gridCol w:w="1474"/>
        <w:gridCol w:w="1587"/>
        <w:gridCol w:w="1361"/>
        <w:gridCol w:w="1587"/>
      </w:tblGrid>
      <w:tr w:rsidR="00E418D8">
        <w:tc>
          <w:tcPr>
            <w:tcW w:w="2324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37" w:type="dxa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  <w:gridSpan w:val="2"/>
            <w:vMerge w:val="restart"/>
          </w:tcPr>
          <w:p w:rsidR="00E418D8" w:rsidRDefault="00E418D8">
            <w:pPr>
              <w:pStyle w:val="ConsPlusNormal"/>
              <w:jc w:val="center"/>
            </w:pPr>
            <w:r>
              <w:t>Компонент на теплоноситель &lt;*&gt;, руб./куб. м.</w:t>
            </w:r>
          </w:p>
        </w:tc>
        <w:tc>
          <w:tcPr>
            <w:tcW w:w="2948" w:type="dxa"/>
            <w:gridSpan w:val="2"/>
          </w:tcPr>
          <w:p w:rsidR="00E418D8" w:rsidRDefault="00E418D8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E418D8">
        <w:tc>
          <w:tcPr>
            <w:tcW w:w="2324" w:type="dxa"/>
            <w:vMerge/>
          </w:tcPr>
          <w:p w:rsidR="00E418D8" w:rsidRDefault="00E418D8"/>
        </w:tc>
        <w:tc>
          <w:tcPr>
            <w:tcW w:w="737" w:type="dxa"/>
            <w:vMerge/>
          </w:tcPr>
          <w:p w:rsidR="00E418D8" w:rsidRDefault="00E418D8"/>
        </w:tc>
        <w:tc>
          <w:tcPr>
            <w:tcW w:w="3061" w:type="dxa"/>
            <w:gridSpan w:val="2"/>
            <w:vMerge/>
          </w:tcPr>
          <w:p w:rsidR="00E418D8" w:rsidRDefault="00E418D8"/>
        </w:tc>
        <w:tc>
          <w:tcPr>
            <w:tcW w:w="2948" w:type="dxa"/>
            <w:gridSpan w:val="2"/>
          </w:tcPr>
          <w:p w:rsidR="00E418D8" w:rsidRDefault="00E418D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E418D8">
        <w:tc>
          <w:tcPr>
            <w:tcW w:w="2324" w:type="dxa"/>
            <w:vMerge/>
          </w:tcPr>
          <w:p w:rsidR="00E418D8" w:rsidRDefault="00E418D8"/>
        </w:tc>
        <w:tc>
          <w:tcPr>
            <w:tcW w:w="737" w:type="dxa"/>
            <w:vMerge/>
          </w:tcPr>
          <w:p w:rsidR="00E418D8" w:rsidRDefault="00E418D8"/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418D8">
        <w:tc>
          <w:tcPr>
            <w:tcW w:w="2324" w:type="dxa"/>
            <w:vMerge w:val="restart"/>
          </w:tcPr>
          <w:p w:rsidR="00E418D8" w:rsidRDefault="00E418D8">
            <w:pPr>
              <w:pStyle w:val="ConsPlusNormal"/>
            </w:pPr>
            <w:r>
              <w:t>Государственное унитарное предприятие Ненецкого автономного округа "Нарьян-Марская электростанция"</w:t>
            </w:r>
          </w:p>
        </w:tc>
        <w:tc>
          <w:tcPr>
            <w:tcW w:w="6746" w:type="dxa"/>
            <w:gridSpan w:val="5"/>
          </w:tcPr>
          <w:p w:rsidR="00E418D8" w:rsidRDefault="00E418D8">
            <w:pPr>
              <w:pStyle w:val="ConsPlusNormal"/>
              <w:jc w:val="center"/>
            </w:pPr>
            <w:r>
              <w:t>Население и потребители, приравненные к населению (тарифы указываются с учетом НДС) &lt;**&gt;</w:t>
            </w:r>
          </w:p>
        </w:tc>
      </w:tr>
      <w:tr w:rsidR="00E418D8">
        <w:tc>
          <w:tcPr>
            <w:tcW w:w="2324" w:type="dxa"/>
            <w:vMerge/>
          </w:tcPr>
          <w:p w:rsidR="00E418D8" w:rsidRDefault="00E418D8"/>
        </w:tc>
        <w:tc>
          <w:tcPr>
            <w:tcW w:w="737" w:type="dxa"/>
          </w:tcPr>
          <w:p w:rsidR="00E418D8" w:rsidRDefault="00E418D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3 716,90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3 891,57</w:t>
            </w:r>
          </w:p>
        </w:tc>
      </w:tr>
      <w:tr w:rsidR="00E418D8">
        <w:tc>
          <w:tcPr>
            <w:tcW w:w="2324" w:type="dxa"/>
            <w:vMerge/>
          </w:tcPr>
          <w:p w:rsidR="00E418D8" w:rsidRDefault="00E418D8"/>
        </w:tc>
        <w:tc>
          <w:tcPr>
            <w:tcW w:w="737" w:type="dxa"/>
          </w:tcPr>
          <w:p w:rsidR="00E418D8" w:rsidRDefault="00E418D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3 228,00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3 249,47</w:t>
            </w:r>
          </w:p>
        </w:tc>
      </w:tr>
      <w:tr w:rsidR="00E418D8">
        <w:tc>
          <w:tcPr>
            <w:tcW w:w="2324" w:type="dxa"/>
            <w:vMerge/>
          </w:tcPr>
          <w:p w:rsidR="00E418D8" w:rsidRDefault="00E418D8"/>
        </w:tc>
        <w:tc>
          <w:tcPr>
            <w:tcW w:w="737" w:type="dxa"/>
          </w:tcPr>
          <w:p w:rsidR="00E418D8" w:rsidRDefault="00E418D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3 981,42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4 115,30</w:t>
            </w:r>
          </w:p>
        </w:tc>
      </w:tr>
      <w:tr w:rsidR="00E418D8">
        <w:tc>
          <w:tcPr>
            <w:tcW w:w="2324" w:type="dxa"/>
            <w:vMerge/>
          </w:tcPr>
          <w:p w:rsidR="00E418D8" w:rsidRDefault="00E418D8"/>
        </w:tc>
        <w:tc>
          <w:tcPr>
            <w:tcW w:w="737" w:type="dxa"/>
          </w:tcPr>
          <w:p w:rsidR="00E418D8" w:rsidRDefault="00E418D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4 115,30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4 197,32</w:t>
            </w:r>
          </w:p>
        </w:tc>
      </w:tr>
      <w:tr w:rsidR="00E418D8">
        <w:tc>
          <w:tcPr>
            <w:tcW w:w="2324" w:type="dxa"/>
            <w:vMerge/>
          </w:tcPr>
          <w:p w:rsidR="00E418D8" w:rsidRDefault="00E418D8"/>
        </w:tc>
        <w:tc>
          <w:tcPr>
            <w:tcW w:w="737" w:type="dxa"/>
          </w:tcPr>
          <w:p w:rsidR="00E418D8" w:rsidRDefault="00E418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E418D8" w:rsidRDefault="00E418D8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361" w:type="dxa"/>
          </w:tcPr>
          <w:p w:rsidR="00E418D8" w:rsidRDefault="00E418D8">
            <w:pPr>
              <w:pStyle w:val="ConsPlusNormal"/>
              <w:jc w:val="center"/>
            </w:pPr>
            <w:r>
              <w:t>4 197,32</w:t>
            </w:r>
          </w:p>
        </w:tc>
        <w:tc>
          <w:tcPr>
            <w:tcW w:w="1587" w:type="dxa"/>
          </w:tcPr>
          <w:p w:rsidR="00E418D8" w:rsidRDefault="00E418D8">
            <w:pPr>
              <w:pStyle w:val="ConsPlusNormal"/>
              <w:jc w:val="center"/>
            </w:pPr>
            <w:r>
              <w:t>4 357,15</w:t>
            </w:r>
          </w:p>
        </w:tc>
      </w:tr>
    </w:tbl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ind w:firstLine="540"/>
        <w:jc w:val="both"/>
      </w:pPr>
      <w:r>
        <w:t>--------------------------------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&lt;*&gt; Тариф на теплоноситель установлен в Приложении 4 к настоящему приказу.</w:t>
      </w:r>
    </w:p>
    <w:p w:rsidR="00E418D8" w:rsidRDefault="00E418D8">
      <w:pPr>
        <w:pStyle w:val="ConsPlusNormal"/>
        <w:spacing w:before="220"/>
        <w:ind w:firstLine="540"/>
        <w:jc w:val="both"/>
      </w:pPr>
      <w:r>
        <w:t>&lt;**&gt; Выделяется в целях реализации пункта 6 статьи 168 Налогового кодекса Российской Федерации (часть вторая).</w:t>
      </w: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jc w:val="both"/>
      </w:pPr>
    </w:p>
    <w:p w:rsidR="00E418D8" w:rsidRDefault="00E41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7F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8"/>
    <w:rsid w:val="00092B2E"/>
    <w:rsid w:val="00E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2020-06-25T11:41:00Z</dcterms:created>
  <dcterms:modified xsi:type="dcterms:W3CDTF">2020-06-25T11:42:00Z</dcterms:modified>
</cp:coreProperties>
</file>